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0" w:name="content"/>
    <w:bookmarkStart w:id="59" w:name="X0f7ec1b893dc82c87d6b251a479da5554a2ab52"/>
    <w:p>
      <w:pPr>
        <w:pStyle w:val="Heading1"/>
      </w:pPr>
      <w:r>
        <w:t xml:space="preserve">SOMIC engineering artifact audit and a RapidDraft revision-before-release pilot blueprint</w:t>
      </w:r>
    </w:p>
    <w:bookmarkStart w:id="26" w:name="executive-summary"/>
    <w:p>
      <w:pPr>
        <w:pStyle w:val="Heading2"/>
      </w:pPr>
      <w:r>
        <w:t xml:space="preserve">Executive summary</w:t>
      </w:r>
    </w:p>
    <w:p>
      <w:pPr>
        <w:pStyle w:val="FirstParagraph"/>
      </w:pPr>
      <w:r>
        <w:t xml:space="preserve">entity["company","SOMIC Verpackungsmaschinen GmbH &amp; Co. KG","end-of-line carton packaging"] positions its technology around a modular machine platform that must be adaptable to specific products, groupings, and packaging—while also being able to process an entire “format portfolio” and accept additional formats later. This is enabled through standard components and decentralised functional units connected to a control unit, plus advance testing/optimization of mechanical, electrical, and software functions.</w:t>
      </w:r>
      <w:r>
        <w:t xml:space="preserve"> </w:t>
      </w:r>
      <w:hyperlink r:id="rId21">
        <w:r>
          <w:rPr>
            <w:rStyle w:val="Hyperlink"/>
          </w:rPr>
          <w:t xml:space="preserve">[1]</w:t>
        </w:r>
      </w:hyperlink>
    </w:p>
    <w:p>
      <w:pPr>
        <w:pStyle w:val="BodyText"/>
      </w:pPr>
      <w:r>
        <w:t xml:space="preserve">Two flagship engineering differentiators dramatically increase configuration and revision complexity: (a) SOMIC QuickChange (tool-less format change supported by step-by-step instructions, manuals, and clearly identified change parts/part codes), and (b) SOMIC CORAS (planar/magnetic-levitation based collecting and grouping with 360° product orientation and flexible mixed formats, plus high dynamic performance).</w:t>
      </w:r>
      <w:r>
        <w:t xml:space="preserve"> </w:t>
      </w:r>
      <w:hyperlink r:id="rId22">
        <w:r>
          <w:rPr>
            <w:rStyle w:val="Hyperlink"/>
          </w:rPr>
          <w:t xml:space="preserve">[2]</w:t>
        </w:r>
      </w:hyperlink>
    </w:p>
    <w:p>
      <w:pPr>
        <w:pStyle w:val="BodyText"/>
      </w:pPr>
      <w:r>
        <w:t xml:space="preserve">SOMIC also formalises “before the machine exists” validation using SOMIC RealSource Simulation, described as a patented development tool combining original machine controls with a 3D construction model, enabling realistic simulations and earlier verification of functional processes. This explicitly links mechanical design artifacts to controls/software behavior, raising the stakes on correct revision/release gating across disciplines.</w:t>
      </w:r>
      <w:r>
        <w:t xml:space="preserve"> </w:t>
      </w:r>
      <w:hyperlink r:id="rId23">
        <w:r>
          <w:rPr>
            <w:rStyle w:val="Hyperlink"/>
          </w:rPr>
          <w:t xml:space="preserve">[3]</w:t>
        </w:r>
      </w:hyperlink>
    </w:p>
    <w:p>
      <w:pPr>
        <w:pStyle w:val="BodyText"/>
      </w:pPr>
      <w:r>
        <w:t xml:space="preserve">Engineering-artifact signals on SOMIC-owned pages are unusually direct: career material states that engineers work with current CAD software on production-ready drawings, mechanical assemblies, and complete systems. Separately, SOMIC’s history content describes the shift from manual design to 2D and later 3D CAD, and later the jump to RealSource simulation. These statements justify a RapidDraft pitch centered on drawing/assembly revisions, not generic “AI.”</w:t>
      </w:r>
      <w:r>
        <w:t xml:space="preserve"> </w:t>
      </w:r>
      <w:hyperlink r:id="rId24">
        <w:r>
          <w:rPr>
            <w:rStyle w:val="Hyperlink"/>
          </w:rPr>
          <w:t xml:space="preserve">[4]</w:t>
        </w:r>
      </w:hyperlink>
    </w:p>
    <w:p>
      <w:pPr>
        <w:pStyle w:val="BodyText"/>
      </w:pPr>
      <w:r>
        <w:t xml:space="preserve">Because SOMIC markets frequent format changes (including cases where formats are changed multiple times per day) and remote/online service actions (remote maintenance including VPN-based technician access; online documentation for spare parts; system protocol/fault reporting), the company’s internal “revision-before-release” problem is structurally predictable: if the wrong revision hits production, commissioning, or service, downtime and rework follow quickly. A SOMIC-specific RapidDraft demo should therefore prove one thing:</w:t>
      </w:r>
      <w:r>
        <w:t xml:space="preserve"> </w:t>
      </w:r>
      <w:r>
        <w:rPr>
          <w:b/>
          <w:bCs/>
        </w:rPr>
        <w:t xml:space="preserve">RapidDraft produces a trustworthy, auditable “what changed between revisions?” + “is this candidate revision releasable?” package that can be stored back alongside the released artifact set.</w:t>
      </w:r>
      <w:r>
        <w:t xml:space="preserve"> </w:t>
      </w:r>
      <w:hyperlink r:id="rId25">
        <w:r>
          <w:rPr>
            <w:rStyle w:val="Hyperlink"/>
          </w:rPr>
          <w:t xml:space="preserve">[5]</w:t>
        </w:r>
      </w:hyperlink>
    </w:p>
    <w:bookmarkEnd w:id="26"/>
    <w:bookmarkStart w:id="32" w:name="X32abade69486f824dc4f1529fbefa4f706aaf27"/>
    <w:p>
      <w:pPr>
        <w:pStyle w:val="Heading2"/>
      </w:pPr>
      <w:r>
        <w:t xml:space="preserve">SOMIC company and product audit focused on engineering artifacts</w:t>
      </w:r>
    </w:p>
    <w:p>
      <w:pPr>
        <w:pStyle w:val="FirstParagraph"/>
      </w:pPr>
      <w:r>
        <w:t xml:space="preserve">SOMIC’s public site emphasizes end-of-line carton packaging machines, modularity, collating/grouping systems, format-change ergonomics, and lifecycle service (spare parts, training, remote maintenance, upgrades). The engineering-artifact angle is that all these differentiators require stable, versioned “release sets” across drawings/assemblies + control/configuration + change-part identification + documentation packages.</w:t>
      </w:r>
      <w:r>
        <w:t xml:space="preserve"> </w:t>
      </w:r>
      <w:hyperlink r:id="rId27">
        <w:r>
          <w:rPr>
            <w:rStyle w:val="Hyperlink"/>
          </w:rPr>
          <w:t xml:space="preserve">[6]</w:t>
        </w:r>
      </w:hyperlink>
    </w:p>
    <w:bookmarkStart w:id="31" w:name="engineering-artifact-audit-matrix"/>
    <w:p>
      <w:pPr>
        <w:pStyle w:val="Heading3"/>
      </w:pPr>
      <w:r>
        <w:t xml:space="preserve">Engineering-artifact audit matrix</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SOMIC capability or offer (artifact lens)</w:t>
            </w:r>
          </w:p>
        </w:tc>
        <w:tc>
          <w:tcPr/>
          <w:p>
            <w:pPr>
              <w:pStyle w:val="Compact"/>
            </w:pPr>
            <w:r>
              <w:t xml:space="preserve">What SOMIC states publicly (evidence)</w:t>
            </w:r>
          </w:p>
        </w:tc>
        <w:tc>
          <w:tcPr/>
          <w:p>
            <w:pPr>
              <w:pStyle w:val="Compact"/>
            </w:pPr>
            <w:r>
              <w:t xml:space="preserve">Why it matters for revision/release and “artifact correctness”</w:t>
            </w:r>
          </w:p>
        </w:tc>
      </w:tr>
      <w:tr>
        <w:tc>
          <w:tcPr/>
          <w:p>
            <w:pPr>
              <w:pStyle w:val="Compact"/>
            </w:pPr>
            <w:r>
              <w:t xml:space="preserve">Production-ready drawings and assemblies</w:t>
            </w:r>
          </w:p>
        </w:tc>
        <w:tc>
          <w:tcPr/>
          <w:p>
            <w:pPr>
              <w:pStyle w:val="Compact"/>
            </w:pPr>
            <w:r>
              <w:t xml:space="preserve">Engineering &amp; technical product development work uses current CAD software on “production-ready drawings,” “mechanical assemblies,” and “complete systems.”</w:t>
            </w:r>
            <w:r>
              <w:t xml:space="preserve"> </w:t>
            </w:r>
            <w:hyperlink r:id="rId24">
              <w:r>
                <w:rPr>
                  <w:rStyle w:val="Hyperlink"/>
                </w:rPr>
                <w:t xml:space="preserve">[7]</w:t>
              </w:r>
            </w:hyperlink>
          </w:p>
        </w:tc>
        <w:tc>
          <w:tcPr/>
          <w:p>
            <w:pPr>
              <w:pStyle w:val="Compact"/>
            </w:pPr>
            <w:r>
              <w:t xml:space="preserve">A release gate must ensure the drawing package and assembly structure are coherent at each revision (BOM integrity, references, metadata, revision tables), because these artifacts drive manufacturing and service. (Inference grounded in the stated reliance on drawings/assemblies.)</w:t>
            </w:r>
            <w:r>
              <w:t xml:space="preserve"> </w:t>
            </w:r>
            <w:hyperlink r:id="rId24">
              <w:r>
                <w:rPr>
                  <w:rStyle w:val="Hyperlink"/>
                </w:rPr>
                <w:t xml:space="preserve">[7]</w:t>
              </w:r>
            </w:hyperlink>
          </w:p>
        </w:tc>
      </w:tr>
      <w:tr>
        <w:tc>
          <w:tcPr/>
          <w:p>
            <w:pPr>
              <w:pStyle w:val="Compact"/>
            </w:pPr>
            <w:r>
              <w:t xml:space="preserve">Modular “format portfolio” machines</w:t>
            </w:r>
          </w:p>
        </w:tc>
        <w:tc>
          <w:tcPr/>
          <w:p>
            <w:pPr>
              <w:pStyle w:val="Compact"/>
            </w:pPr>
            <w:r>
              <w:t xml:space="preserve">Modular system uses standard components up to complete functional groups; functional units work decentralised and connect to a control unit; modular design enables advance testing/optimization of mechanical, electrical functions and software; machines can process an entire “format portfolio” and add formats later.</w:t>
            </w:r>
            <w:r>
              <w:t xml:space="preserve"> </w:t>
            </w:r>
            <w:hyperlink r:id="rId21">
              <w:r>
                <w:rPr>
                  <w:rStyle w:val="Hyperlink"/>
                </w:rPr>
                <w:t xml:space="preserve">[1]</w:t>
              </w:r>
            </w:hyperlink>
          </w:p>
        </w:tc>
        <w:tc>
          <w:tcPr/>
          <w:p>
            <w:pPr>
              <w:pStyle w:val="Compact"/>
            </w:pPr>
            <w:r>
              <w:t xml:space="preserve">Format portfolios create many change paths (new formats, new groupings, new change parts), increasing the volume of revisions and the risk of “partial releases” (some artifacts updated, others not). (Inference grounded in the modular + portfolio claims.)</w:t>
            </w:r>
            <w:r>
              <w:t xml:space="preserve"> </w:t>
            </w:r>
            <w:hyperlink r:id="rId21">
              <w:r>
                <w:rPr>
                  <w:rStyle w:val="Hyperlink"/>
                </w:rPr>
                <w:t xml:space="preserve">[1]</w:t>
              </w:r>
            </w:hyperlink>
          </w:p>
        </w:tc>
      </w:tr>
      <w:tr>
        <w:tc>
          <w:tcPr/>
          <w:p>
            <w:pPr>
              <w:pStyle w:val="Compact"/>
            </w:pPr>
            <w:r>
              <w:t xml:space="preserve">SOMIC 434 platform and packaging concepts</w:t>
            </w:r>
          </w:p>
        </w:tc>
        <w:tc>
          <w:tcPr/>
          <w:p>
            <w:pPr>
              <w:pStyle w:val="Compact"/>
            </w:pPr>
            <w:r>
              <w:t xml:space="preserve">SOMIC 434 is presented as modular cartoning machines for individual packaging requirements; supports one-piece cartons (tray/wraparound) and two-piece cartons (tray/cover or cover/tray); claims “almost all packaging requirements” can be realized on the platform.</w:t>
            </w:r>
            <w:r>
              <w:t xml:space="preserve"> </w:t>
            </w:r>
            <w:hyperlink r:id="rId27">
              <w:r>
                <w:rPr>
                  <w:rStyle w:val="Hyperlink"/>
                </w:rPr>
                <w:t xml:space="preserve">[8]</w:t>
              </w:r>
            </w:hyperlink>
          </w:p>
        </w:tc>
        <w:tc>
          <w:tcPr/>
          <w:p>
            <w:pPr>
              <w:pStyle w:val="Compact"/>
            </w:pPr>
            <w:r>
              <w:t xml:space="preserve">Each packaging concept introduces unique tooling, folding tools, gluing positions, blank magazine adjustments, and transport/collation variants; those variations map to drawing/assembly deltas and configuration deltas that must be visible review-to-review. (Inference grounded in the breadth of packaging concepts.)</w:t>
            </w:r>
            <w:r>
              <w:t xml:space="preserve"> </w:t>
            </w:r>
            <w:hyperlink r:id="rId27">
              <w:r>
                <w:rPr>
                  <w:rStyle w:val="Hyperlink"/>
                </w:rPr>
                <w:t xml:space="preserve">[8]</w:t>
              </w:r>
            </w:hyperlink>
          </w:p>
        </w:tc>
      </w:tr>
      <w:tr>
        <w:tc>
          <w:tcPr/>
          <w:p>
            <w:pPr>
              <w:pStyle w:val="Compact"/>
            </w:pPr>
            <w:r>
              <w:t xml:space="preserve">QuickChange as an operationally constrained design feature</w:t>
            </w:r>
          </w:p>
        </w:tc>
        <w:tc>
          <w:tcPr/>
          <w:p>
            <w:pPr>
              <w:pStyle w:val="Compact"/>
            </w:pPr>
            <w:r>
              <w:t xml:space="preserve">QuickChange is framed as allowing “simple and safe” format change, guided step-by-step; within a pre-specified format range, additional formats can be operated later; “no additional format tweaking is necessary.”</w:t>
            </w:r>
            <w:r>
              <w:t xml:space="preserve"> </w:t>
            </w:r>
            <w:hyperlink r:id="rId22">
              <w:r>
                <w:rPr>
                  <w:rStyle w:val="Hyperlink"/>
                </w:rPr>
                <w:t xml:space="preserve">[9]</w:t>
              </w:r>
            </w:hyperlink>
          </w:p>
        </w:tc>
        <w:tc>
          <w:tcPr/>
          <w:p>
            <w:pPr>
              <w:pStyle w:val="Compact"/>
            </w:pPr>
            <w:r>
              <w:t xml:space="preserve">If format change is operationally guided and “no tweaking” is expected, then engineering must release change parts, instructions, and machine parameters that are correct-by-construction for each format. Wrong revisions become immediate downtime events. (Inference grounded in the “no tweaking” positioning.)</w:t>
            </w:r>
            <w:r>
              <w:t xml:space="preserve"> </w:t>
            </w:r>
            <w:hyperlink r:id="rId22">
              <w:r>
                <w:rPr>
                  <w:rStyle w:val="Hyperlink"/>
                </w:rPr>
                <w:t xml:space="preserve">[9]</w:t>
              </w:r>
            </w:hyperlink>
          </w:p>
        </w:tc>
      </w:tr>
      <w:tr>
        <w:tc>
          <w:tcPr/>
          <w:p>
            <w:pPr>
              <w:pStyle w:val="Compact"/>
            </w:pPr>
            <w:r>
              <w:t xml:space="preserve">Change parts, part codes, and operator instructions</w:t>
            </w:r>
          </w:p>
        </w:tc>
        <w:tc>
          <w:tcPr/>
          <w:p>
            <w:pPr>
              <w:pStyle w:val="Compact"/>
            </w:pPr>
            <w:r>
              <w:t xml:space="preserve">SOMIC describes format changeover based on QuickChange connections for change parts and providing clear sequence instructions that are comprehensible with the help of part codes and the operating panel; accessibility is assessed in CAD using a dummy.</w:t>
            </w:r>
            <w:r>
              <w:t xml:space="preserve"> </w:t>
            </w:r>
            <w:hyperlink r:id="rId28">
              <w:r>
                <w:rPr>
                  <w:rStyle w:val="Hyperlink"/>
                </w:rPr>
                <w:t xml:space="preserve">[10]</w:t>
              </w:r>
            </w:hyperlink>
          </w:p>
        </w:tc>
        <w:tc>
          <w:tcPr/>
          <w:p>
            <w:pPr>
              <w:pStyle w:val="Compact"/>
            </w:pPr>
            <w:r>
              <w:t xml:space="preserve">Part-code driven instructions imply an internal mapping between (a) physical change parts, (b) their identifiers, and (c) the documentation/drawings that define them. Release errors are not abstract—they break the “sequence + part code” chain in production. (Inference grounded in part-code instruction design.)</w:t>
            </w:r>
            <w:r>
              <w:t xml:space="preserve"> </w:t>
            </w:r>
            <w:hyperlink r:id="rId28">
              <w:r>
                <w:rPr>
                  <w:rStyle w:val="Hyperlink"/>
                </w:rPr>
                <w:t xml:space="preserve">[10]</w:t>
              </w:r>
            </w:hyperlink>
          </w:p>
        </w:tc>
      </w:tr>
      <w:tr>
        <w:tc>
          <w:tcPr/>
          <w:p>
            <w:pPr>
              <w:pStyle w:val="Compact"/>
            </w:pPr>
            <w:r>
              <w:t xml:space="preserve">CORAS grouping system as a high-variance module</w:t>
            </w:r>
          </w:p>
        </w:tc>
        <w:tc>
          <w:tcPr/>
          <w:p>
            <w:pPr>
              <w:pStyle w:val="Compact"/>
            </w:pPr>
            <w:r>
              <w:t xml:space="preserve">CORAS provides 360° product orientation, supports mixed formats, and consolidates collating/grouping/orienting/conditioning in one unit; described as planar/magnetic levitation based; claims max speed 2 m/s and max acceleration 20 m/s².</w:t>
            </w:r>
            <w:r>
              <w:t xml:space="preserve"> </w:t>
            </w:r>
            <w:hyperlink r:id="rId29">
              <w:r>
                <w:rPr>
                  <w:rStyle w:val="Hyperlink"/>
                </w:rPr>
                <w:t xml:space="preserve">[11]</w:t>
              </w:r>
            </w:hyperlink>
          </w:p>
        </w:tc>
        <w:tc>
          <w:tcPr/>
          <w:p>
            <w:pPr>
              <w:pStyle w:val="Compact"/>
            </w:pPr>
            <w:r>
              <w:t xml:space="preserve">High-dynamics modules amplify the cost of late design changes and require strict revision traceability (safety margins, wear components, carrier/container designs). CORAS therefore raises the ROI of “what changed?” + “is this releasable?” automation. (Inference grounded in the new module + performance claims.)</w:t>
            </w:r>
            <w:r>
              <w:t xml:space="preserve"> </w:t>
            </w:r>
            <w:hyperlink r:id="rId29">
              <w:r>
                <w:rPr>
                  <w:rStyle w:val="Hyperlink"/>
                </w:rPr>
                <w:t xml:space="preserve">[11]</w:t>
              </w:r>
            </w:hyperlink>
          </w:p>
        </w:tc>
      </w:tr>
      <w:tr>
        <w:tc>
          <w:tcPr/>
          <w:p>
            <w:pPr>
              <w:pStyle w:val="Compact"/>
            </w:pPr>
            <w:r>
              <w:t xml:space="preserve">RealSource Simulation tying controls to 3D construction</w:t>
            </w:r>
          </w:p>
        </w:tc>
        <w:tc>
          <w:tcPr/>
          <w:p>
            <w:pPr>
              <w:pStyle w:val="Compact"/>
            </w:pPr>
            <w:r>
              <w:t xml:space="preserve">RealSource Simulation is described as a patented development tool combining original machine controls with a 3D construction model; enables virtual planning and early verification; internal tests use realistic production scenarios.</w:t>
            </w:r>
            <w:r>
              <w:t xml:space="preserve"> </w:t>
            </w:r>
            <w:hyperlink r:id="rId23">
              <w:r>
                <w:rPr>
                  <w:rStyle w:val="Hyperlink"/>
                </w:rPr>
                <w:t xml:space="preserve">[12]</w:t>
              </w:r>
            </w:hyperlink>
          </w:p>
        </w:tc>
        <w:tc>
          <w:tcPr/>
          <w:p>
            <w:pPr>
              <w:pStyle w:val="Compact"/>
            </w:pPr>
            <w:r>
              <w:t xml:space="preserve">Any “release” that changes mechanical design may need aligned control logic/configuration and simulation validation. This creates hidden coupling across artifact types, making revision-diff review essential. (Inference grounded in “controls + 3D construction model” linkage.)</w:t>
            </w:r>
            <w:r>
              <w:t xml:space="preserve"> </w:t>
            </w:r>
            <w:hyperlink r:id="rId23">
              <w:r>
                <w:rPr>
                  <w:rStyle w:val="Hyperlink"/>
                </w:rPr>
                <w:t xml:space="preserve">[12]</w:t>
              </w:r>
            </w:hyperlink>
          </w:p>
        </w:tc>
      </w:tr>
      <w:tr>
        <w:tc>
          <w:tcPr/>
          <w:p>
            <w:pPr>
              <w:pStyle w:val="Compact"/>
            </w:pPr>
            <w:r>
              <w:t xml:space="preserve">Remote service and long-lifecycle support artifacts</w:t>
            </w:r>
          </w:p>
        </w:tc>
        <w:tc>
          <w:tcPr/>
          <w:p>
            <w:pPr>
              <w:pStyle w:val="Compact"/>
            </w:pPr>
            <w:r>
              <w:t xml:space="preserve">Service pages describe worldwide system diagnostics and remote maintenance and explicitly mention a “system protocol.” A case study states technicians log in via VPN for remote maintenance; sustainability/regionality content describes programming new format programs via remote control and producing new format parts even for machines from the 1990s; spare parts service includes online documentation for spare parts via customer login.</w:t>
            </w:r>
            <w:r>
              <w:t xml:space="preserve"> </w:t>
            </w:r>
            <w:hyperlink r:id="rId30">
              <w:r>
                <w:rPr>
                  <w:rStyle w:val="Hyperlink"/>
                </w:rPr>
                <w:t xml:space="preserve">[13]</w:t>
              </w:r>
            </w:hyperlink>
          </w:p>
        </w:tc>
        <w:tc>
          <w:tcPr/>
          <w:p>
            <w:pPr>
              <w:pStyle w:val="Compact"/>
            </w:pPr>
            <w:r>
              <w:t xml:space="preserve">Lifecycle operations demand that released revisions remain retrievable and unambiguous years later (service, upgrades, retrofit). That increases the payoff of storing structured change summaries and release evidence directly alongside released artifact sets. (Inference grounded in lifecycle/remote-support statements.)</w:t>
            </w:r>
            <w:r>
              <w:t xml:space="preserve"> </w:t>
            </w:r>
            <w:hyperlink r:id="rId30">
              <w:r>
                <w:rPr>
                  <w:rStyle w:val="Hyperlink"/>
                </w:rPr>
                <w:t xml:space="preserve">[14]</w:t>
              </w:r>
            </w:hyperlink>
          </w:p>
        </w:tc>
      </w:tr>
    </w:tbl>
    <w:bookmarkEnd w:id="31"/>
    <w:bookmarkEnd w:id="32"/>
    <w:bookmarkStart w:id="38" w:name="Xac5198d0c9a7198c2b6107855ad7da5abd128f2"/>
    <w:p>
      <w:pPr>
        <w:pStyle w:val="Heading2"/>
      </w:pPr>
      <w:r>
        <w:t xml:space="preserve">Extracted internal problems tied to revision, release, and PDM workflows</w:t>
      </w:r>
    </w:p>
    <w:p>
      <w:pPr>
        <w:pStyle w:val="FirstParagraph"/>
      </w:pPr>
      <w:r>
        <w:t xml:space="preserve">SOMIC’s public statements do not specify which CAD, PDM, or PLM system they use; only general CAD usage and artifact types (drawings/assemblies) are stated. Therefore the problem extraction below is evidence-based on SOMIC’s operating model and is explicitly an inference, not a claim about their actual internal tooling stack.</w:t>
      </w:r>
      <w:r>
        <w:t xml:space="preserve"> </w:t>
      </w:r>
      <w:hyperlink r:id="rId24">
        <w:r>
          <w:rPr>
            <w:rStyle w:val="Hyperlink"/>
          </w:rPr>
          <w:t xml:space="preserve">[4]</w:t>
        </w:r>
      </w:hyperlink>
    </w:p>
    <w:bookmarkStart w:id="33" w:name="X69ed33b83b4922af099495caac95c09c28bc975"/>
    <w:p>
      <w:pPr>
        <w:pStyle w:val="Heading3"/>
      </w:pPr>
      <w:r>
        <w:t xml:space="preserve">Problem cluster: variant explosion and revision opacity</w:t>
      </w:r>
    </w:p>
    <w:p>
      <w:pPr>
        <w:pStyle w:val="FirstParagraph"/>
      </w:pPr>
      <w:r>
        <w:t xml:space="preserve">SOMIC explicitly designs machines to handle an entire format portfolio and to accept additional formats later, and QuickChange is framed around operating many formats within a defined range.</w:t>
      </w:r>
      <w:r>
        <w:t xml:space="preserve"> </w:t>
      </w:r>
      <w:hyperlink r:id="rId21">
        <w:r>
          <w:rPr>
            <w:rStyle w:val="Hyperlink"/>
          </w:rPr>
          <w:t xml:space="preserve">[15]</w:t>
        </w:r>
      </w:hyperlink>
      <w:r>
        <w:br/>
      </w:r>
      <w:r>
        <w:rPr>
          <w:b/>
          <w:bCs/>
        </w:rPr>
        <w:t xml:space="preserve">Inference:</w:t>
      </w:r>
      <w:r>
        <w:t xml:space="preserve"> </w:t>
      </w:r>
      <w:r>
        <w:t xml:space="preserve">This creates continual revision pressure: every new format, customer requirement, carton concept variant, or grouping adjustment becomes a release candidate spanning multiple artifacts (drawings, assemblies, change-part lists, instructions, and parameters). Without fast, trusted “what changed?” views, engineers must reconstruct diffs manually, and release decisions become meeting-heavy and error-prone.</w:t>
      </w:r>
      <w:r>
        <w:t xml:space="preserve"> </w:t>
      </w:r>
      <w:hyperlink r:id="rId21">
        <w:r>
          <w:rPr>
            <w:rStyle w:val="Hyperlink"/>
          </w:rPr>
          <w:t xml:space="preserve">[15]</w:t>
        </w:r>
      </w:hyperlink>
    </w:p>
    <w:bookmarkEnd w:id="33"/>
    <w:bookmarkStart w:id="34" w:name="Xc8bc00524f49df44e4c35fe7016429c70d60f55"/>
    <w:p>
      <w:pPr>
        <w:pStyle w:val="Heading3"/>
      </w:pPr>
      <w:r>
        <w:t xml:space="preserve">Problem cluster: change parts + documentation must be consistent or the shopfloor stops</w:t>
      </w:r>
    </w:p>
    <w:p>
      <w:pPr>
        <w:pStyle w:val="FirstParagraph"/>
      </w:pPr>
      <w:r>
        <w:t xml:space="preserve">SOMIC describes format changeover as guided by clear sequence instructions supported by part codes, and in a public case study the machine is described as automatically checking whether changeover was done correctly and instructing corrections on the touchscreen.</w:t>
      </w:r>
      <w:r>
        <w:t xml:space="preserve"> </w:t>
      </w:r>
      <w:hyperlink r:id="rId28">
        <w:r>
          <w:rPr>
            <w:rStyle w:val="Hyperlink"/>
          </w:rPr>
          <w:t xml:space="preserve">[16]</w:t>
        </w:r>
      </w:hyperlink>
      <w:r>
        <w:br/>
      </w:r>
      <w:r>
        <w:rPr>
          <w:b/>
          <w:bCs/>
        </w:rPr>
        <w:t xml:space="preserve">Inference:</w:t>
      </w:r>
      <w:r>
        <w:t xml:space="preserve"> </w:t>
      </w:r>
      <w:r>
        <w:t xml:space="preserve">This operational model is intolerant of inconsistent revisions across (a) change part identifiers, (b) drawings defining those change parts, and (c) the format-change manuals/instructions. If any element is released out-of-sync, the operator’s “sequence + part code” workflow breaks, causing downtime and support escalations.</w:t>
      </w:r>
      <w:r>
        <w:t xml:space="preserve"> </w:t>
      </w:r>
      <w:hyperlink r:id="rId28">
        <w:r>
          <w:rPr>
            <w:rStyle w:val="Hyperlink"/>
          </w:rPr>
          <w:t xml:space="preserve">[16]</w:t>
        </w:r>
      </w:hyperlink>
    </w:p>
    <w:bookmarkEnd w:id="34"/>
    <w:bookmarkStart w:id="35" w:name="Xd13f26a771d6dbcebf7ac1d1b1c4f9b0679781e"/>
    <w:p>
      <w:pPr>
        <w:pStyle w:val="Heading3"/>
      </w:pPr>
      <w:r>
        <w:t xml:space="preserve">Problem cluster: cross-disciplinary coupling from simulation and mechatronic validation</w:t>
      </w:r>
    </w:p>
    <w:p>
      <w:pPr>
        <w:pStyle w:val="FirstParagraph"/>
      </w:pPr>
      <w:r>
        <w:t xml:space="preserve">SOMIC states that its modular design enables advance testing of mechanical and electrical functions and software, and RealSource Simulation explicitly combines original controls with a 3D construction model for realistic simulation.</w:t>
      </w:r>
      <w:r>
        <w:t xml:space="preserve"> </w:t>
      </w:r>
      <w:hyperlink r:id="rId21">
        <w:r>
          <w:rPr>
            <w:rStyle w:val="Hyperlink"/>
          </w:rPr>
          <w:t xml:space="preserve">[17]</w:t>
        </w:r>
      </w:hyperlink>
      <w:r>
        <w:br/>
      </w:r>
      <w:r>
        <w:rPr>
          <w:b/>
          <w:bCs/>
        </w:rPr>
        <w:t xml:space="preserve">Inference:</w:t>
      </w:r>
      <w:r>
        <w:t xml:space="preserve"> </w:t>
      </w:r>
      <w:r>
        <w:t xml:space="preserve">Mechanical drawing revisions can have downstream impacts on control behavior, parameter sets, and simulation assumptions; therefore release is not “a drawing problem” but a synchronization problem. The internal pain point likely manifests as late discovery of mismatches (in commissioning, virtual FAT, or service) rather than early discovery at review time.</w:t>
      </w:r>
      <w:r>
        <w:t xml:space="preserve"> </w:t>
      </w:r>
      <w:hyperlink r:id="rId21">
        <w:r>
          <w:rPr>
            <w:rStyle w:val="Hyperlink"/>
          </w:rPr>
          <w:t xml:space="preserve">[18]</w:t>
        </w:r>
      </w:hyperlink>
    </w:p>
    <w:bookmarkEnd w:id="35"/>
    <w:bookmarkStart w:id="37" w:name="X01b2830f447a5f10134502d87d0da39ef25fbd1"/>
    <w:p>
      <w:pPr>
        <w:pStyle w:val="Heading3"/>
      </w:pPr>
      <w:r>
        <w:t xml:space="preserve">Problem cluster: service lifecycle requires revision traceability for years</w:t>
      </w:r>
    </w:p>
    <w:p>
      <w:pPr>
        <w:pStyle w:val="FirstParagraph"/>
      </w:pPr>
      <w:r>
        <w:t xml:space="preserve">SOMIC emphasizes remote maintenance (including VPN-based technician access in a case study), the ability to program new format programs remotely, producing new format parts even for machines from the 1990s, and online spare-parts documentation via customer login.</w:t>
      </w:r>
      <w:r>
        <w:t xml:space="preserve"> </w:t>
      </w:r>
      <w:hyperlink r:id="rId25">
        <w:r>
          <w:rPr>
            <w:rStyle w:val="Hyperlink"/>
          </w:rPr>
          <w:t xml:space="preserve">[19]</w:t>
        </w:r>
      </w:hyperlink>
      <w:r>
        <w:br/>
      </w:r>
      <w:r>
        <w:rPr>
          <w:b/>
          <w:bCs/>
        </w:rPr>
        <w:t xml:space="preserve">Inference:</w:t>
      </w:r>
      <w:r>
        <w:t xml:space="preserve"> </w:t>
      </w:r>
      <w:r>
        <w:t xml:space="preserve">Long-tail support multiplies the cost of revision ambiguity. If customer sites operate mixed vintages and upgraded format sets, service and retrofit teams need unambiguous revision lineage: which drawings/assemblies were released for which machine configuration, and what changed when. This is exactly where “revision-before-release” evidence (diff summaries + release checks + signed-off issues) becomes operationally valuable.</w:t>
      </w:r>
      <w:r>
        <w:t xml:space="preserve"> </w:t>
      </w:r>
      <w:hyperlink r:id="rId36">
        <w:r>
          <w:rPr>
            <w:rStyle w:val="Hyperlink"/>
          </w:rPr>
          <w:t xml:space="preserve">[20]</w:t>
        </w:r>
      </w:hyperlink>
    </w:p>
    <w:bookmarkEnd w:id="37"/>
    <w:bookmarkEnd w:id="38"/>
    <w:bookmarkStart w:id="44" w:name="X463f4cdac607c37d3312d3a08d1b76a31c46a11"/>
    <w:p>
      <w:pPr>
        <w:pStyle w:val="Heading2"/>
      </w:pPr>
      <w:r>
        <w:t xml:space="preserve">SOMIC-specific RapidDraft pilot demo specification</w:t>
      </w:r>
    </w:p>
    <w:p>
      <w:pPr>
        <w:pStyle w:val="FirstParagraph"/>
      </w:pPr>
      <w:r>
        <w:t xml:space="preserve">This demo spec is designed to prove value in the exact environment SOMIC describes: modular format portfolios, QuickChange change parts/part codes, high-variance grouping systems, and a service lifecycle that relies on remote actions and documentation.</w:t>
      </w:r>
      <w:r>
        <w:t xml:space="preserve"> </w:t>
      </w:r>
      <w:hyperlink r:id="rId21">
        <w:r>
          <w:rPr>
            <w:rStyle w:val="Hyperlink"/>
          </w:rPr>
          <w:t xml:space="preserve">[21]</w:t>
        </w:r>
      </w:hyperlink>
      <w:r>
        <w:br/>
      </w:r>
      <w:r>
        <w:t xml:space="preserve">SOMIC’s actual CAD/PDM stack is not stated publicly; the pilot treats that as unknown and uses integration assumptions only where explicitly marked.</w:t>
      </w:r>
      <w:r>
        <w:t xml:space="preserve"> </w:t>
      </w:r>
      <w:hyperlink r:id="rId24">
        <w:r>
          <w:rPr>
            <w:rStyle w:val="Hyperlink"/>
          </w:rPr>
          <w:t xml:space="preserve">[4]</w:t>
        </w:r>
      </w:hyperlink>
    </w:p>
    <w:bookmarkStart w:id="39" w:name="scope-and-narrative"/>
    <w:p>
      <w:pPr>
        <w:pStyle w:val="Heading3"/>
      </w:pPr>
      <w:r>
        <w:t xml:space="preserve">Scope and narrative</w:t>
      </w:r>
    </w:p>
    <w:p>
      <w:pPr>
        <w:pStyle w:val="FirstParagraph"/>
      </w:pPr>
      <w:r>
        <w:t xml:space="preserve">The demo must show:</w:t>
      </w:r>
      <w:r>
        <w:t xml:space="preserve"> </w:t>
      </w:r>
      <w:r>
        <w:rPr>
          <w:b/>
          <w:bCs/>
        </w:rPr>
        <w:t xml:space="preserve">Candidate revision vs. released baseline → automatic change extraction → deterministic release checks → issue log with evidence → exportable report → (optional) store-back to PDM.</w:t>
      </w:r>
      <w:r>
        <w:br/>
      </w:r>
      <w:r>
        <w:t xml:space="preserve">This demonstration is positioned as risk reduction and acceleration for format expansions and change-part updates, consistent with SOMIC’s emphasis on multi-format capability and later format adaptation.</w:t>
      </w:r>
      <w:r>
        <w:t xml:space="preserve"> </w:t>
      </w:r>
      <w:hyperlink r:id="rId21">
        <w:r>
          <w:rPr>
            <w:rStyle w:val="Hyperlink"/>
          </w:rPr>
          <w:t xml:space="preserve">[22]</w:t>
        </w:r>
      </w:hyperlink>
    </w:p>
    <w:bookmarkEnd w:id="39"/>
    <w:bookmarkStart w:id="40" w:name="inputs"/>
    <w:p>
      <w:pPr>
        <w:pStyle w:val="Heading3"/>
      </w:pPr>
      <w:r>
        <w:t xml:space="preserve">Inputs</w:t>
      </w:r>
    </w:p>
    <w:p>
      <w:pPr>
        <w:pStyle w:val="FirstParagraph"/>
      </w:pPr>
      <w:r>
        <w:rPr>
          <w:b/>
          <w:bCs/>
        </w:rPr>
        <w:t xml:space="preserve">Required</w:t>
      </w:r>
    </w:p>
    <w:p>
      <w:pPr>
        <w:pStyle w:val="Compact"/>
        <w:numPr>
          <w:ilvl w:val="0"/>
          <w:numId w:val="1001"/>
        </w:numPr>
      </w:pPr>
      <w:r>
        <w:t xml:space="preserve">Baseline “released” artifact set for a module relevant to format changes or grouping:</w:t>
      </w:r>
    </w:p>
    <w:p>
      <w:pPr>
        <w:pStyle w:val="Compact"/>
        <w:numPr>
          <w:ilvl w:val="0"/>
          <w:numId w:val="1001"/>
        </w:numPr>
      </w:pPr>
      <w:r>
        <w:t xml:space="preserve">A drawing package (2D drawings) and at least one related assembly structure. (Artifact types mirror SOMIC’s explicit “drawings” + “mechanical assemblies” language.)</w:t>
      </w:r>
      <w:r>
        <w:t xml:space="preserve"> </w:t>
      </w:r>
      <w:hyperlink r:id="rId24">
        <w:r>
          <w:rPr>
            <w:rStyle w:val="Hyperlink"/>
          </w:rPr>
          <w:t xml:space="preserve">[7]</w:t>
        </w:r>
      </w:hyperlink>
    </w:p>
    <w:p>
      <w:pPr>
        <w:pStyle w:val="Compact"/>
        <w:numPr>
          <w:ilvl w:val="0"/>
          <w:numId w:val="1001"/>
        </w:numPr>
      </w:pPr>
      <w:r>
        <w:t xml:space="preserve">Candidate artifact set (next revision) for the same scope (same module / same machine family).</w:t>
      </w:r>
      <w:r>
        <w:t xml:space="preserve"> </w:t>
      </w:r>
      <w:hyperlink r:id="rId24">
        <w:r>
          <w:rPr>
            <w:rStyle w:val="Hyperlink"/>
          </w:rPr>
          <w:t xml:space="preserve">[7]</w:t>
        </w:r>
      </w:hyperlink>
    </w:p>
    <w:p>
      <w:pPr>
        <w:pStyle w:val="FirstParagraph"/>
      </w:pPr>
      <w:r>
        <w:rPr>
          <w:b/>
          <w:bCs/>
        </w:rPr>
        <w:t xml:space="preserve">Strongly recommended SOMIC-flavored inputs</w:t>
      </w:r>
    </w:p>
    <w:p>
      <w:pPr>
        <w:pStyle w:val="Compact"/>
        <w:numPr>
          <w:ilvl w:val="0"/>
          <w:numId w:val="1002"/>
        </w:numPr>
      </w:pPr>
      <w:r>
        <w:t xml:space="preserve">A change-part list for the format range (or a BOM subset) that includes the part codes used in operator-facing instructions.</w:t>
      </w:r>
      <w:r>
        <w:t xml:space="preserve"> </w:t>
      </w:r>
      <w:hyperlink r:id="rId28">
        <w:r>
          <w:rPr>
            <w:rStyle w:val="Hyperlink"/>
          </w:rPr>
          <w:t xml:space="preserve">[16]</w:t>
        </w:r>
      </w:hyperlink>
    </w:p>
    <w:p>
      <w:pPr>
        <w:pStyle w:val="Compact"/>
        <w:numPr>
          <w:ilvl w:val="0"/>
          <w:numId w:val="1002"/>
        </w:numPr>
      </w:pPr>
      <w:r>
        <w:t xml:space="preserve">A “format instruction” document (PDF) tied to QuickChange steps, if available. (SOMIC describes manuals and clear step sequences.)</w:t>
      </w:r>
      <w:r>
        <w:t xml:space="preserve"> </w:t>
      </w:r>
      <w:hyperlink r:id="rId22">
        <w:r>
          <w:rPr>
            <w:rStyle w:val="Hyperlink"/>
          </w:rPr>
          <w:t xml:space="preserve">[23]</w:t>
        </w:r>
      </w:hyperlink>
    </w:p>
    <w:p>
      <w:pPr>
        <w:pStyle w:val="FirstParagraph"/>
      </w:pPr>
      <w:r>
        <w:rPr>
          <w:b/>
          <w:bCs/>
        </w:rPr>
        <w:t xml:space="preserve">Optional</w:t>
      </w:r>
    </w:p>
    <w:p>
      <w:pPr>
        <w:pStyle w:val="Compact"/>
        <w:numPr>
          <w:ilvl w:val="0"/>
          <w:numId w:val="1003"/>
        </w:numPr>
      </w:pPr>
      <w:r>
        <w:t xml:space="preserve">A RealSource-related validation artifact reference (e.g., simulation approval note) to demonstrate cross-linking, because RealSource is explicitly positioned as combining controls with a 3D construction model.</w:t>
      </w:r>
      <w:r>
        <w:t xml:space="preserve"> </w:t>
      </w:r>
      <w:hyperlink r:id="rId23">
        <w:r>
          <w:rPr>
            <w:rStyle w:val="Hyperlink"/>
          </w:rPr>
          <w:t xml:space="preserve">[12]</w:t>
        </w:r>
      </w:hyperlink>
    </w:p>
    <w:bookmarkEnd w:id="40"/>
    <w:bookmarkStart w:id="42" w:name="outputs"/>
    <w:p>
      <w:pPr>
        <w:pStyle w:val="Heading3"/>
      </w:pPr>
      <w:r>
        <w:t xml:space="preserve">Outputs</w:t>
      </w:r>
    </w:p>
    <w:p>
      <w:pPr>
        <w:pStyle w:val="FirstParagraph"/>
      </w:pPr>
      <w:r>
        <w:rPr>
          <w:b/>
          <w:bCs/>
        </w:rPr>
        <w:t xml:space="preserve">Change summary (must be auditable)</w:t>
      </w:r>
    </w:p>
    <w:p>
      <w:pPr>
        <w:pStyle w:val="Compact"/>
        <w:numPr>
          <w:ilvl w:val="0"/>
          <w:numId w:val="1004"/>
        </w:numPr>
      </w:pPr>
      <w:r>
        <w:t xml:space="preserve">List of changed drawings and assemblies (added/removed/modified) with clear evidence pointers (page/sheet/view/region references for drawings; component subtree references for assemblies). (This mirrors the engineering reality implied by production-ready drawings and assemblies.)</w:t>
      </w:r>
      <w:r>
        <w:t xml:space="preserve"> </w:t>
      </w:r>
      <w:hyperlink r:id="rId24">
        <w:r>
          <w:rPr>
            <w:rStyle w:val="Hyperlink"/>
          </w:rPr>
          <w:t xml:space="preserve">[7]</w:t>
        </w:r>
      </w:hyperlink>
    </w:p>
    <w:p>
      <w:pPr>
        <w:pStyle w:val="Compact"/>
        <w:numPr>
          <w:ilvl w:val="0"/>
          <w:numId w:val="1004"/>
        </w:numPr>
      </w:pPr>
      <w:r>
        <w:t xml:space="preserve">A “format impact summary” view: which change parts / part codes are impacted by the revision (based on explicit identifiers in artifacts). (This is anchored to SOMIC’s explicit use of part codes for changeover.)</w:t>
      </w:r>
      <w:r>
        <w:t xml:space="preserve"> </w:t>
      </w:r>
      <w:hyperlink r:id="rId28">
        <w:r>
          <w:rPr>
            <w:rStyle w:val="Hyperlink"/>
          </w:rPr>
          <w:t xml:space="preserve">[10]</w:t>
        </w:r>
      </w:hyperlink>
    </w:p>
    <w:p>
      <w:pPr>
        <w:pStyle w:val="FirstParagraph"/>
      </w:pPr>
      <w:r>
        <w:rPr>
          <w:b/>
          <w:bCs/>
        </w:rPr>
        <w:t xml:space="preserve">Release checks (deterministic gates)</w:t>
      </w:r>
    </w:p>
    <w:p>
      <w:pPr>
        <w:pStyle w:val="Compact"/>
        <w:numPr>
          <w:ilvl w:val="0"/>
          <w:numId w:val="1005"/>
        </w:numPr>
      </w:pPr>
      <w:r>
        <w:t xml:space="preserve">A release checklist aimed at preventing shopfloor-breaking mismatches for QuickChange-style operations:</w:t>
      </w:r>
    </w:p>
    <w:p>
      <w:pPr>
        <w:pStyle w:val="Compact"/>
        <w:numPr>
          <w:ilvl w:val="0"/>
          <w:numId w:val="1005"/>
        </w:numPr>
      </w:pPr>
      <w:r>
        <w:t xml:space="preserve">Revision ID consistency across files in the release set.</w:t>
      </w:r>
    </w:p>
    <w:p>
      <w:pPr>
        <w:pStyle w:val="Compact"/>
        <w:numPr>
          <w:ilvl w:val="0"/>
          <w:numId w:val="1005"/>
        </w:numPr>
      </w:pPr>
      <w:r>
        <w:t xml:space="preserve">Presence/consistency of part codes (change parts) across drawing notes/documents.</w:t>
      </w:r>
      <w:r>
        <w:t xml:space="preserve"> </w:t>
      </w:r>
      <w:hyperlink r:id="rId28">
        <w:r>
          <w:rPr>
            <w:rStyle w:val="Hyperlink"/>
          </w:rPr>
          <w:t xml:space="preserve">[16]</w:t>
        </w:r>
      </w:hyperlink>
    </w:p>
    <w:p>
      <w:pPr>
        <w:pStyle w:val="Compact"/>
        <w:numPr>
          <w:ilvl w:val="0"/>
          <w:numId w:val="1005"/>
        </w:numPr>
      </w:pPr>
      <w:r>
        <w:t xml:space="preserve">“Instruction linkage completeness”: if a change part is modified, the corresponding instruction/manual artifact must be updated or explicitly waived (with rationale). (Design requirement derived from SOMIC’s emphasis on manuals/step-by-step operation.)</w:t>
      </w:r>
      <w:r>
        <w:t xml:space="preserve"> </w:t>
      </w:r>
      <w:hyperlink r:id="rId41">
        <w:r>
          <w:rPr>
            <w:rStyle w:val="Hyperlink"/>
          </w:rPr>
          <w:t xml:space="preserve">[24]</w:t>
        </w:r>
      </w:hyperlink>
    </w:p>
    <w:p>
      <w:pPr>
        <w:pStyle w:val="Compact"/>
        <w:numPr>
          <w:ilvl w:val="0"/>
          <w:numId w:val="1005"/>
        </w:numPr>
      </w:pPr>
      <w:r>
        <w:t xml:space="preserve">Output: pass/fail counts with severity (Blocker/Major/Minor) and evidence pointers.</w:t>
      </w:r>
    </w:p>
    <w:p>
      <w:pPr>
        <w:pStyle w:val="FirstParagraph"/>
      </w:pPr>
      <w:r>
        <w:rPr>
          <w:b/>
          <w:bCs/>
        </w:rPr>
        <w:t xml:space="preserve">Issue log + decision record</w:t>
      </w:r>
    </w:p>
    <w:p>
      <w:pPr>
        <w:pStyle w:val="Compact"/>
        <w:numPr>
          <w:ilvl w:val="0"/>
          <w:numId w:val="1006"/>
        </w:numPr>
      </w:pPr>
      <w:r>
        <w:t xml:space="preserve">Findings auto-convertible into issues with: owner role, due date, status, close rationale (needed for multi-format and long lifecycle). (Design justified by long service life + remote maintenance realities; issues become “release memory.”)</w:t>
      </w:r>
      <w:r>
        <w:t xml:space="preserve"> </w:t>
      </w:r>
      <w:hyperlink r:id="rId36">
        <w:r>
          <w:rPr>
            <w:rStyle w:val="Hyperlink"/>
          </w:rPr>
          <w:t xml:space="preserve">[25]</w:t>
        </w:r>
      </w:hyperlink>
    </w:p>
    <w:p>
      <w:pPr>
        <w:pStyle w:val="FirstParagraph"/>
      </w:pPr>
      <w:r>
        <w:rPr>
          <w:b/>
          <w:bCs/>
        </w:rPr>
        <w:t xml:space="preserve">Report artifact</w:t>
      </w:r>
    </w:p>
    <w:p>
      <w:pPr>
        <w:pStyle w:val="Compact"/>
        <w:numPr>
          <w:ilvl w:val="0"/>
          <w:numId w:val="1007"/>
        </w:numPr>
      </w:pPr>
      <w:r>
        <w:t xml:space="preserve">A single exportable “Revision-before-release report” (PDF/HTML) containing:</w:t>
      </w:r>
    </w:p>
    <w:p>
      <w:pPr>
        <w:pStyle w:val="Compact"/>
        <w:numPr>
          <w:ilvl w:val="0"/>
          <w:numId w:val="1007"/>
        </w:numPr>
      </w:pPr>
      <w:r>
        <w:t xml:space="preserve">Baseline vs candidate identifiers (revision, date, author if available).</w:t>
      </w:r>
    </w:p>
    <w:p>
      <w:pPr>
        <w:pStyle w:val="Compact"/>
        <w:numPr>
          <w:ilvl w:val="0"/>
          <w:numId w:val="1007"/>
        </w:numPr>
      </w:pPr>
      <w:r>
        <w:t xml:space="preserve">Change summary + impacted part codes.</w:t>
      </w:r>
    </w:p>
    <w:p>
      <w:pPr>
        <w:pStyle w:val="Compact"/>
        <w:numPr>
          <w:ilvl w:val="0"/>
          <w:numId w:val="1007"/>
        </w:numPr>
      </w:pPr>
      <w:r>
        <w:t xml:space="preserve">Release checklist results.</w:t>
      </w:r>
    </w:p>
    <w:p>
      <w:pPr>
        <w:pStyle w:val="Compact"/>
        <w:numPr>
          <w:ilvl w:val="0"/>
          <w:numId w:val="1007"/>
        </w:numPr>
      </w:pPr>
      <w:r>
        <w:t xml:space="preserve">Issue log and close decisions.</w:t>
      </w:r>
    </w:p>
    <w:p>
      <w:pPr>
        <w:pStyle w:val="Compact"/>
        <w:numPr>
          <w:ilvl w:val="0"/>
          <w:numId w:val="1007"/>
        </w:numPr>
      </w:pPr>
      <w:r>
        <w:t xml:space="preserve">This report is framed as complementary to SOMIC’s explicit “system protocol” concept and documentation-driven support model.</w:t>
      </w:r>
      <w:r>
        <w:t xml:space="preserve"> </w:t>
      </w:r>
      <w:hyperlink r:id="rId30">
        <w:r>
          <w:rPr>
            <w:rStyle w:val="Hyperlink"/>
          </w:rPr>
          <w:t xml:space="preserve">[26]</w:t>
        </w:r>
      </w:hyperlink>
    </w:p>
    <w:bookmarkEnd w:id="42"/>
    <w:bookmarkStart w:id="43" w:name="acceptance-criteria"/>
    <w:p>
      <w:pPr>
        <w:pStyle w:val="Heading3"/>
      </w:pPr>
      <w:r>
        <w:t xml:space="preserve">Acceptance criteria</w:t>
      </w:r>
    </w:p>
    <w:p>
      <w:pPr>
        <w:pStyle w:val="FirstParagraph"/>
      </w:pPr>
      <w:r>
        <w:rPr>
          <w:b/>
          <w:bCs/>
        </w:rPr>
        <w:t xml:space="preserve">Functional</w:t>
      </w:r>
    </w:p>
    <w:p>
      <w:pPr>
        <w:pStyle w:val="Compact"/>
        <w:numPr>
          <w:ilvl w:val="0"/>
          <w:numId w:val="1008"/>
        </w:numPr>
      </w:pPr>
      <w:r>
        <w:t xml:space="preserve">Given two revisions of a drawing package and assembly, the demo produces a change list and a release checklist result set in a single session without manual spreadsheeting. (Rooted in the reality that SOMIC engineering produces drawings and assemblies.)</w:t>
      </w:r>
      <w:r>
        <w:t xml:space="preserve"> </w:t>
      </w:r>
      <w:hyperlink r:id="rId24">
        <w:r>
          <w:rPr>
            <w:rStyle w:val="Hyperlink"/>
          </w:rPr>
          <w:t xml:space="preserve">[7]</w:t>
        </w:r>
      </w:hyperlink>
    </w:p>
    <w:p>
      <w:pPr>
        <w:pStyle w:val="Compact"/>
        <w:numPr>
          <w:ilvl w:val="0"/>
          <w:numId w:val="1008"/>
        </w:numPr>
      </w:pPr>
      <w:r>
        <w:t xml:space="preserve">The demo can flag at least one “format-change risk” scenario using part codes or instruction linkage (because SOMIC explicitly uses part codes and manuals for changeovers).</w:t>
      </w:r>
      <w:r>
        <w:t xml:space="preserve"> </w:t>
      </w:r>
      <w:hyperlink r:id="rId28">
        <w:r>
          <w:rPr>
            <w:rStyle w:val="Hyperlink"/>
          </w:rPr>
          <w:t xml:space="preserve">[16]</w:t>
        </w:r>
      </w:hyperlink>
    </w:p>
    <w:p>
      <w:pPr>
        <w:pStyle w:val="FirstParagraph"/>
      </w:pPr>
      <w:r>
        <w:rPr>
          <w:b/>
          <w:bCs/>
        </w:rPr>
        <w:t xml:space="preserve">Credibility</w:t>
      </w:r>
    </w:p>
    <w:p>
      <w:pPr>
        <w:pStyle w:val="Compact"/>
        <w:numPr>
          <w:ilvl w:val="0"/>
          <w:numId w:val="1009"/>
        </w:numPr>
      </w:pPr>
      <w:r>
        <w:t xml:space="preserve">The change summary must show concrete evidence anchors (not “AI says it changed”). This is critical for a company that markets “no tweaking” and operator-guided changeovers.</w:t>
      </w:r>
      <w:r>
        <w:t xml:space="preserve"> </w:t>
      </w:r>
      <w:hyperlink r:id="rId22">
        <w:r>
          <w:rPr>
            <w:rStyle w:val="Hyperlink"/>
          </w:rPr>
          <w:t xml:space="preserve">[9]</w:t>
        </w:r>
      </w:hyperlink>
    </w:p>
    <w:p>
      <w:pPr>
        <w:pStyle w:val="Compact"/>
        <w:numPr>
          <w:ilvl w:val="0"/>
          <w:numId w:val="1009"/>
        </w:numPr>
      </w:pPr>
      <w:r>
        <w:t xml:space="preserve">The report must be suitable to store alongside release artifacts for later service use, consistent with SOMIC’s remote maintenance practices and long lifecycle support.</w:t>
      </w:r>
      <w:r>
        <w:t xml:space="preserve"> </w:t>
      </w:r>
      <w:hyperlink r:id="rId25">
        <w:r>
          <w:rPr>
            <w:rStyle w:val="Hyperlink"/>
          </w:rPr>
          <w:t xml:space="preserve">[19]</w:t>
        </w:r>
      </w:hyperlink>
    </w:p>
    <w:p>
      <w:pPr>
        <w:pStyle w:val="FirstParagraph"/>
      </w:pPr>
      <w:r>
        <w:rPr>
          <w:b/>
          <w:bCs/>
        </w:rPr>
        <w:t xml:space="preserve">Performance (pilot demo target)</w:t>
      </w:r>
    </w:p>
    <w:p>
      <w:pPr>
        <w:pStyle w:val="Compact"/>
        <w:numPr>
          <w:ilvl w:val="0"/>
          <w:numId w:val="1010"/>
        </w:numPr>
      </w:pPr>
      <w:r>
        <w:t xml:space="preserve">End-to-end “import baseline + candidate → results view → export report” in under 10 minutes on a real SOMIC artifact subset (one module or one format-change scope). (This is a demo constraint, not a SOMIC factual claim.)</w:t>
      </w:r>
    </w:p>
    <w:bookmarkEnd w:id="43"/>
    <w:bookmarkEnd w:id="44"/>
    <w:bookmarkStart w:id="48" w:name="X2262102361a3907cce464a33d42b0313332b0f5"/>
    <w:p>
      <w:pPr>
        <w:pStyle w:val="Heading2"/>
      </w:pPr>
      <w:r>
        <w:t xml:space="preserve">Two to three day prioritized development sprint backlog and timeline</w:t>
      </w:r>
    </w:p>
    <w:p>
      <w:pPr>
        <w:pStyle w:val="FirstParagraph"/>
      </w:pPr>
      <w:r>
        <w:t xml:space="preserve">This backlog is intentionally narrowly scoped to the SOMIC pilot: it produces a convincing “revision-before-release” story on SOMIC-style artifacts (format changes, part codes, manuals) rather than broad platform work. The roles below are generic; exact staffing is assumed. (No claims about SOMIC internal staffing.)</w:t>
      </w:r>
      <w:r>
        <w:t xml:space="preserve"> </w:t>
      </w:r>
      <w:hyperlink r:id="rId28">
        <w:r>
          <w:rPr>
            <w:rStyle w:val="Hyperlink"/>
          </w:rPr>
          <w:t xml:space="preserve">[27]</w:t>
        </w:r>
      </w:hyperlink>
    </w:p>
    <w:bookmarkStart w:id="46" w:name="sprint-backlog-table"/>
    <w:p>
      <w:pPr>
        <w:pStyle w:val="Heading3"/>
      </w:pPr>
      <w:r>
        <w:t xml:space="preserve">Sprint backlog table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Priority</w:t>
            </w:r>
          </w:p>
        </w:tc>
        <w:tc>
          <w:tcPr/>
          <w:p>
            <w:pPr>
              <w:pStyle w:val="Compact"/>
            </w:pPr>
            <w:r>
              <w:t xml:space="preserve">Task</w:t>
            </w:r>
          </w:p>
        </w:tc>
        <w:tc>
          <w:tcPr/>
          <w:p>
            <w:pPr>
              <w:pStyle w:val="Compact"/>
            </w:pPr>
            <w:r>
              <w:t xml:space="preserve">Owner role</w:t>
            </w:r>
          </w:p>
        </w:tc>
        <w:tc>
          <w:tcPr/>
          <w:p>
            <w:pPr>
              <w:pStyle w:val="Compact"/>
            </w:pPr>
            <w:r>
              <w:t xml:space="preserve">Output</w:t>
            </w:r>
          </w:p>
        </w:tc>
        <w:tc>
          <w:tcPr/>
          <w:p>
            <w:pPr>
              <w:pStyle w:val="Compact"/>
            </w:pPr>
            <w:r>
              <w:t xml:space="preserve">Acceptance criteria</w:t>
            </w:r>
          </w:p>
        </w:tc>
      </w:tr>
      <w:tr>
        <w:tc>
          <w:tcPr/>
          <w:p>
            <w:pPr>
              <w:pStyle w:val="Compact"/>
            </w:pPr>
            <w:r>
              <w:t xml:space="preserve">P0</w:t>
            </w:r>
          </w:p>
        </w:tc>
        <w:tc>
          <w:tcPr/>
          <w:p>
            <w:pPr>
              <w:pStyle w:val="Compact"/>
            </w:pPr>
            <w:r>
              <w:t xml:space="preserve">Define SOMIC demo scenario and artifact contract</w:t>
            </w:r>
          </w:p>
        </w:tc>
        <w:tc>
          <w:tcPr/>
          <w:p>
            <w:pPr>
              <w:pStyle w:val="Compact"/>
            </w:pPr>
            <w:r>
              <w:t xml:space="preserve">Product lead + Mechanical SME</w:t>
            </w:r>
          </w:p>
        </w:tc>
        <w:tc>
          <w:tcPr/>
          <w:p>
            <w:pPr>
              <w:pStyle w:val="Compact"/>
            </w:pPr>
            <w:r>
              <w:t xml:space="preserve">“Demo script” and required inputs list</w:t>
            </w:r>
          </w:p>
        </w:tc>
        <w:tc>
          <w:tcPr/>
          <w:p>
            <w:pPr>
              <w:pStyle w:val="Compact"/>
            </w:pPr>
            <w:r>
              <w:t xml:space="preserve">Script centered on baseline vs candidate revision; includes at least one QuickChange-facing check using part codes/manual linkage, reflecting SOMIC’s stated changeover approach.</w:t>
            </w:r>
            <w:r>
              <w:t xml:space="preserve"> </w:t>
            </w:r>
            <w:hyperlink r:id="rId28">
              <w:r>
                <w:rPr>
                  <w:rStyle w:val="Hyperlink"/>
                </w:rPr>
                <w:t xml:space="preserve">[27]</w:t>
              </w:r>
            </w:hyperlink>
          </w:p>
        </w:tc>
      </w:tr>
      <w:tr>
        <w:tc>
          <w:tcPr/>
          <w:p>
            <w:pPr>
              <w:pStyle w:val="Compact"/>
            </w:pPr>
            <w:r>
              <w:t xml:space="preserve">P0</w:t>
            </w:r>
          </w:p>
        </w:tc>
        <w:tc>
          <w:tcPr/>
          <w:p>
            <w:pPr>
              <w:pStyle w:val="Compact"/>
            </w:pPr>
            <w:r>
              <w:t xml:space="preserve">Revision ingestion pipeline for drawing packages</w:t>
            </w:r>
          </w:p>
        </w:tc>
        <w:tc>
          <w:tcPr/>
          <w:p>
            <w:pPr>
              <w:pStyle w:val="Compact"/>
            </w:pPr>
            <w:r>
              <w:t xml:space="preserve">Backend engineer</w:t>
            </w:r>
          </w:p>
        </w:tc>
        <w:tc>
          <w:tcPr/>
          <w:p>
            <w:pPr>
              <w:pStyle w:val="Compact"/>
            </w:pPr>
            <w:r>
              <w:t xml:space="preserve">Importer for two revisions; artifact manifest</w:t>
            </w:r>
          </w:p>
        </w:tc>
        <w:tc>
          <w:tcPr/>
          <w:p>
            <w:pPr>
              <w:pStyle w:val="Compact"/>
            </w:pPr>
            <w:r>
              <w:t xml:space="preserve">Can load/resolve two revision sets and build a consistent manifest of drawings + assembly refs, aligned to SOMIC’s explicit drawings/assemblies work.</w:t>
            </w:r>
            <w:r>
              <w:t xml:space="preserve"> </w:t>
            </w:r>
            <w:hyperlink r:id="rId24">
              <w:r>
                <w:rPr>
                  <w:rStyle w:val="Hyperlink"/>
                </w:rPr>
                <w:t xml:space="preserve">[7]</w:t>
              </w:r>
            </w:hyperlink>
          </w:p>
        </w:tc>
      </w:tr>
      <w:tr>
        <w:tc>
          <w:tcPr/>
          <w:p>
            <w:pPr>
              <w:pStyle w:val="Compact"/>
            </w:pPr>
            <w:r>
              <w:t xml:space="preserve">P0</w:t>
            </w:r>
          </w:p>
        </w:tc>
        <w:tc>
          <w:tcPr/>
          <w:p>
            <w:pPr>
              <w:pStyle w:val="Compact"/>
            </w:pPr>
            <w:r>
              <w:t xml:space="preserve">Visual change evidence viewer</w:t>
            </w:r>
          </w:p>
        </w:tc>
        <w:tc>
          <w:tcPr/>
          <w:p>
            <w:pPr>
              <w:pStyle w:val="Compact"/>
            </w:pPr>
            <w:r>
              <w:t xml:space="preserve">Frontend engineer</w:t>
            </w:r>
          </w:p>
        </w:tc>
        <w:tc>
          <w:tcPr/>
          <w:p>
            <w:pPr>
              <w:pStyle w:val="Compact"/>
            </w:pPr>
            <w:r>
              <w:t xml:space="preserve">Side-by-side compare + evidence anchors</w:t>
            </w:r>
          </w:p>
        </w:tc>
        <w:tc>
          <w:tcPr/>
          <w:p>
            <w:pPr>
              <w:pStyle w:val="Compact"/>
            </w:pPr>
            <w:r>
              <w:t xml:space="preserve">For at least one changed drawing, user can click a change item and jump to the relevant page/region evidence. (Evidence-first requirement justified by operator “no tweaking” expectations.)</w:t>
            </w:r>
            <w:r>
              <w:t xml:space="preserve"> </w:t>
            </w:r>
            <w:hyperlink r:id="rId22">
              <w:r>
                <w:rPr>
                  <w:rStyle w:val="Hyperlink"/>
                </w:rPr>
                <w:t xml:space="preserve">[9]</w:t>
              </w:r>
            </w:hyperlink>
          </w:p>
        </w:tc>
      </w:tr>
      <w:tr>
        <w:tc>
          <w:tcPr/>
          <w:p>
            <w:pPr>
              <w:pStyle w:val="Compact"/>
            </w:pPr>
            <w:r>
              <w:t xml:space="preserve">P0</w:t>
            </w:r>
          </w:p>
        </w:tc>
        <w:tc>
          <w:tcPr/>
          <w:p>
            <w:pPr>
              <w:pStyle w:val="Compact"/>
            </w:pPr>
            <w:r>
              <w:t xml:space="preserve">Deterministic release checklist v0</w:t>
            </w:r>
          </w:p>
        </w:tc>
        <w:tc>
          <w:tcPr/>
          <w:p>
            <w:pPr>
              <w:pStyle w:val="Compact"/>
            </w:pPr>
            <w:r>
              <w:t xml:space="preserve">Backend + Mechanical SME</w:t>
            </w:r>
          </w:p>
        </w:tc>
        <w:tc>
          <w:tcPr/>
          <w:p>
            <w:pPr>
              <w:pStyle w:val="Compact"/>
            </w:pPr>
            <w:r>
              <w:t xml:space="preserve">Checklist engine</w:t>
            </w:r>
          </w:p>
        </w:tc>
        <w:tc>
          <w:tcPr/>
          <w:p>
            <w:pPr>
              <w:pStyle w:val="Compact"/>
            </w:pPr>
            <w:r>
              <w:t xml:space="preserve">Includes: revision consistency check; part-code presence/consistency checks; “instruction linkage completeness” check for change parts. The checks are justified by SOMIC’s part-code + manual changeover model.</w:t>
            </w:r>
            <w:r>
              <w:t xml:space="preserve"> </w:t>
            </w:r>
            <w:hyperlink r:id="rId28">
              <w:r>
                <w:rPr>
                  <w:rStyle w:val="Hyperlink"/>
                </w:rPr>
                <w:t xml:space="preserve">[16]</w:t>
              </w:r>
            </w:hyperlink>
          </w:p>
        </w:tc>
      </w:tr>
      <w:tr>
        <w:tc>
          <w:tcPr/>
          <w:p>
            <w:pPr>
              <w:pStyle w:val="Compact"/>
            </w:pPr>
            <w:r>
              <w:t xml:space="preserve">P0</w:t>
            </w:r>
          </w:p>
        </w:tc>
        <w:tc>
          <w:tcPr/>
          <w:p>
            <w:pPr>
              <w:pStyle w:val="Compact"/>
            </w:pPr>
            <w:r>
              <w:t xml:space="preserve">Report generator</w:t>
            </w:r>
          </w:p>
        </w:tc>
        <w:tc>
          <w:tcPr/>
          <w:p>
            <w:pPr>
              <w:pStyle w:val="Compact"/>
            </w:pPr>
            <w:r>
              <w:t xml:space="preserve">Full-stack engineer</w:t>
            </w:r>
          </w:p>
        </w:tc>
        <w:tc>
          <w:tcPr/>
          <w:p>
            <w:pPr>
              <w:pStyle w:val="Compact"/>
            </w:pPr>
            <w:r>
              <w:t xml:space="preserve">Exportable report artifact</w:t>
            </w:r>
          </w:p>
        </w:tc>
        <w:tc>
          <w:tcPr/>
          <w:p>
            <w:pPr>
              <w:pStyle w:val="Compact"/>
            </w:pPr>
            <w:r>
              <w:t xml:space="preserve">Report contains baseline vs candidate IDs, change summary, release check results, and issues. Positioned as a “release evidence packet” compatible with SOMIC’s documentation-centric service model.</w:t>
            </w:r>
            <w:r>
              <w:t xml:space="preserve"> </w:t>
            </w:r>
            <w:hyperlink r:id="rId30">
              <w:r>
                <w:rPr>
                  <w:rStyle w:val="Hyperlink"/>
                </w:rPr>
                <w:t xml:space="preserve">[26]</w:t>
              </w:r>
            </w:hyperlink>
          </w:p>
        </w:tc>
      </w:tr>
      <w:tr>
        <w:tc>
          <w:tcPr/>
          <w:p>
            <w:pPr>
              <w:pStyle w:val="Compact"/>
            </w:pPr>
            <w:r>
              <w:t xml:space="preserve">P1</w:t>
            </w:r>
          </w:p>
        </w:tc>
        <w:tc>
          <w:tcPr/>
          <w:p>
            <w:pPr>
              <w:pStyle w:val="Compact"/>
            </w:pPr>
            <w:r>
              <w:t xml:space="preserve">Issue log and close-loop</w:t>
            </w:r>
          </w:p>
        </w:tc>
        <w:tc>
          <w:tcPr/>
          <w:p>
            <w:pPr>
              <w:pStyle w:val="Compact"/>
            </w:pPr>
            <w:r>
              <w:t xml:space="preserve">Frontend + Backend</w:t>
            </w:r>
          </w:p>
        </w:tc>
        <w:tc>
          <w:tcPr/>
          <w:p>
            <w:pPr>
              <w:pStyle w:val="Compact"/>
            </w:pPr>
            <w:r>
              <w:t xml:space="preserve">Issues with owner role + status</w:t>
            </w:r>
          </w:p>
        </w:tc>
        <w:tc>
          <w:tcPr/>
          <w:p>
            <w:pPr>
              <w:pStyle w:val="Compact"/>
            </w:pPr>
            <w:r>
              <w:t xml:space="preserve">User can create issues from findings, assign owner role (e.g., design, documentation, controls), and mark closed with rationale—supporting long lifecycle traceability implied by remote maintenance and upgrade practices.</w:t>
            </w:r>
            <w:r>
              <w:t xml:space="preserve"> </w:t>
            </w:r>
            <w:hyperlink r:id="rId36">
              <w:r>
                <w:rPr>
                  <w:rStyle w:val="Hyperlink"/>
                </w:rPr>
                <w:t xml:space="preserve">[25]</w:t>
              </w:r>
            </w:hyperlink>
          </w:p>
        </w:tc>
      </w:tr>
      <w:tr>
        <w:tc>
          <w:tcPr/>
          <w:p>
            <w:pPr>
              <w:pStyle w:val="Compact"/>
            </w:pPr>
            <w:r>
              <w:t xml:space="preserve">P1</w:t>
            </w:r>
          </w:p>
        </w:tc>
        <w:tc>
          <w:tcPr/>
          <w:p>
            <w:pPr>
              <w:pStyle w:val="Compact"/>
            </w:pPr>
            <w:r>
              <w:t xml:space="preserve">PDM connector scaffold (assumption: SolidWorks PDM is used)</w:t>
            </w:r>
          </w:p>
        </w:tc>
        <w:tc>
          <w:tcPr/>
          <w:p>
            <w:pPr>
              <w:pStyle w:val="Compact"/>
            </w:pPr>
            <w:r>
              <w:t xml:space="preserve">Integration engineer</w:t>
            </w:r>
          </w:p>
        </w:tc>
        <w:tc>
          <w:tcPr/>
          <w:p>
            <w:pPr>
              <w:pStyle w:val="Compact"/>
            </w:pPr>
            <w:r>
              <w:t xml:space="preserve">Connector layer + mock adapter</w:t>
            </w:r>
          </w:p>
        </w:tc>
        <w:tc>
          <w:tcPr/>
          <w:p>
            <w:pPr>
              <w:pStyle w:val="Compact"/>
            </w:pPr>
            <w:r>
              <w:t xml:space="preserve">Can authenticate (mocked if needed), fetch file + metadata, and upload a report file. This is design work; SOMIC does not state its PDM.</w:t>
            </w:r>
            <w:r>
              <w:t xml:space="preserve"> </w:t>
            </w:r>
            <w:hyperlink r:id="rId24">
              <w:r>
                <w:rPr>
                  <w:rStyle w:val="Hyperlink"/>
                </w:rPr>
                <w:t xml:space="preserve">[7]</w:t>
              </w:r>
            </w:hyperlink>
          </w:p>
        </w:tc>
      </w:tr>
      <w:tr>
        <w:tc>
          <w:tcPr/>
          <w:p>
            <w:pPr>
              <w:pStyle w:val="Compact"/>
            </w:pPr>
            <w:r>
              <w:t xml:space="preserve">P1</w:t>
            </w:r>
          </w:p>
        </w:tc>
        <w:tc>
          <w:tcPr/>
          <w:p>
            <w:pPr>
              <w:pStyle w:val="Compact"/>
            </w:pPr>
            <w:r>
              <w:t xml:space="preserve">Store-back workflow</w:t>
            </w:r>
          </w:p>
        </w:tc>
        <w:tc>
          <w:tcPr/>
          <w:p>
            <w:pPr>
              <w:pStyle w:val="Compact"/>
            </w:pPr>
            <w:r>
              <w:t xml:space="preserve">Integration engineer + Backend</w:t>
            </w:r>
          </w:p>
        </w:tc>
        <w:tc>
          <w:tcPr/>
          <w:p>
            <w:pPr>
              <w:pStyle w:val="Compact"/>
            </w:pPr>
            <w:r>
              <w:t xml:space="preserve">“Attach report to revision” operation</w:t>
            </w:r>
          </w:p>
        </w:tc>
        <w:tc>
          <w:tcPr/>
          <w:p>
            <w:pPr>
              <w:pStyle w:val="Compact"/>
            </w:pPr>
            <w:r>
              <w:t xml:space="preserve">Report is stored back as a related document to the candidate revision (or as a new object), supporting SOMIC’s emphasis on documented support (online spare parts documentation; system protocol concept).</w:t>
            </w:r>
            <w:r>
              <w:t xml:space="preserve"> </w:t>
            </w:r>
            <w:hyperlink r:id="rId45">
              <w:r>
                <w:rPr>
                  <w:rStyle w:val="Hyperlink"/>
                </w:rPr>
                <w:t xml:space="preserve">[28]</w:t>
              </w:r>
            </w:hyperlink>
          </w:p>
        </w:tc>
      </w:tr>
      <w:tr>
        <w:tc>
          <w:tcPr/>
          <w:p>
            <w:pPr>
              <w:pStyle w:val="Compact"/>
            </w:pPr>
            <w:r>
              <w:t xml:space="preserve">P2</w:t>
            </w:r>
          </w:p>
        </w:tc>
        <w:tc>
          <w:tcPr/>
          <w:p>
            <w:pPr>
              <w:pStyle w:val="Compact"/>
            </w:pPr>
            <w:r>
              <w:t xml:space="preserve">Demo hardening and failure modes</w:t>
            </w:r>
          </w:p>
        </w:tc>
        <w:tc>
          <w:tcPr/>
          <w:p>
            <w:pPr>
              <w:pStyle w:val="Compact"/>
            </w:pPr>
            <w:r>
              <w:t xml:space="preserve">QA engineer</w:t>
            </w:r>
          </w:p>
        </w:tc>
        <w:tc>
          <w:tcPr/>
          <w:p>
            <w:pPr>
              <w:pStyle w:val="Compact"/>
            </w:pPr>
            <w:r>
              <w:t xml:space="preserve">Test checklist + demo dataset</w:t>
            </w:r>
          </w:p>
        </w:tc>
        <w:tc>
          <w:tcPr/>
          <w:p>
            <w:pPr>
              <w:pStyle w:val="Compact"/>
            </w:pPr>
            <w:r>
              <w:t xml:space="preserve">If an artifact is missing or mismatched, RapidDraft shows a deterministic failure reason and produces a partial report; this matches the “clear instructions” ethos SOMIC describes for operators.</w:t>
            </w:r>
            <w:r>
              <w:t xml:space="preserve"> </w:t>
            </w:r>
            <w:hyperlink r:id="rId22">
              <w:r>
                <w:rPr>
                  <w:rStyle w:val="Hyperlink"/>
                </w:rPr>
                <w:t xml:space="preserve">[9]</w:t>
              </w:r>
            </w:hyperlink>
          </w:p>
        </w:tc>
      </w:tr>
    </w:tbl>
    <w:bookmarkEnd w:id="46"/>
    <w:bookmarkStart w:id="47" w:name="sprint-timeline-23-days-as-mermaid"/>
    <w:p>
      <w:pPr>
        <w:pStyle w:val="Heading3"/>
      </w:pPr>
      <w:r>
        <w:t xml:space="preserve">Sprint timeline (2–3 days) as mermaid</w:t>
      </w:r>
    </w:p>
    <w:p>
      <w:pPr>
        <w:pStyle w:val="SourceCode"/>
      </w:pPr>
      <w:r>
        <w:rPr>
          <w:rStyle w:val="VerbatimChar"/>
        </w:rPr>
        <w:t xml:space="preserve">gantt</w:t>
      </w:r>
      <w:r>
        <w:br/>
      </w:r>
      <w:r>
        <w:rPr>
          <w:rStyle w:val="VerbatimChar"/>
        </w:rPr>
        <w:t xml:space="preserve">    title RapidDraft SOMIC pilot demo sprint (2–3 days)</w:t>
      </w:r>
      <w:r>
        <w:br/>
      </w:r>
      <w:r>
        <w:rPr>
          <w:rStyle w:val="VerbatimChar"/>
        </w:rPr>
        <w:t xml:space="preserve">    dateFormat  YYYY-MM-DD</w:t>
      </w:r>
      <w:r>
        <w:br/>
      </w:r>
      <w:r>
        <w:rPr>
          <w:rStyle w:val="VerbatimChar"/>
        </w:rPr>
        <w:t xml:space="preserve">    axisFormat  %m-%d</w:t>
      </w:r>
      <w:r>
        <w:br/>
      </w:r>
      <w:r>
        <w:br/>
      </w:r>
      <w:r>
        <w:rPr>
          <w:rStyle w:val="VerbatimChar"/>
        </w:rPr>
        <w:t xml:space="preserve">    section Day 1</w:t>
      </w:r>
      <w:r>
        <w:br/>
      </w:r>
      <w:r>
        <w:rPr>
          <w:rStyle w:val="VerbatimChar"/>
        </w:rPr>
        <w:t xml:space="preserve">    Demo scenario + input contract           :a1, 2026-04-11, 0.25d</w:t>
      </w:r>
      <w:r>
        <w:br/>
      </w:r>
      <w:r>
        <w:rPr>
          <w:rStyle w:val="VerbatimChar"/>
        </w:rPr>
        <w:t xml:space="preserve">    Revision ingestion pipeline              :a2, 2026-04-11, 0.75d</w:t>
      </w:r>
      <w:r>
        <w:br/>
      </w:r>
      <w:r>
        <w:rPr>
          <w:rStyle w:val="VerbatimChar"/>
        </w:rPr>
        <w:t xml:space="preserve">    Evidence-first diff viewer (v0)          :a3, 2026-04-11, 0.75d</w:t>
      </w:r>
      <w:r>
        <w:br/>
      </w:r>
      <w:r>
        <w:br/>
      </w:r>
      <w:r>
        <w:rPr>
          <w:rStyle w:val="VerbatimChar"/>
        </w:rPr>
        <w:t xml:space="preserve">    section Day 2</w:t>
      </w:r>
      <w:r>
        <w:br/>
      </w:r>
      <w:r>
        <w:rPr>
          <w:rStyle w:val="VerbatimChar"/>
        </w:rPr>
        <w:t xml:space="preserve">    Deterministic release checklist (v0)     :b1, 2026-04-12, 0.75d</w:t>
      </w:r>
      <w:r>
        <w:br/>
      </w:r>
      <w:r>
        <w:rPr>
          <w:rStyle w:val="VerbatimChar"/>
        </w:rPr>
        <w:t xml:space="preserve">    Report generator (PDF/HTML)             :b2, 2026-04-12, 0.75d</w:t>
      </w:r>
      <w:r>
        <w:br/>
      </w:r>
      <w:r>
        <w:rPr>
          <w:rStyle w:val="VerbatimChar"/>
        </w:rPr>
        <w:t xml:space="preserve">    Issue log + close-loop (v0)             :b3, 2026-04-12, 0.5d</w:t>
      </w:r>
      <w:r>
        <w:br/>
      </w:r>
      <w:r>
        <w:br/>
      </w:r>
      <w:r>
        <w:rPr>
          <w:rStyle w:val="VerbatimChar"/>
        </w:rPr>
        <w:t xml:space="preserve">    section Day 3 (optional hardening)</w:t>
      </w:r>
      <w:r>
        <w:br/>
      </w:r>
      <w:r>
        <w:rPr>
          <w:rStyle w:val="VerbatimChar"/>
        </w:rPr>
        <w:t xml:space="preserve">    PDM connector scaffold + store-back      :c1, 2026-04-13, 0.75d</w:t>
      </w:r>
      <w:r>
        <w:br/>
      </w:r>
      <w:r>
        <w:rPr>
          <w:rStyle w:val="VerbatimChar"/>
        </w:rPr>
        <w:t xml:space="preserve">    QA hardening + demo rehearsal            :c2, 2026-04-13, 0.75d</w:t>
      </w:r>
    </w:p>
    <w:bookmarkEnd w:id="47"/>
    <w:bookmarkEnd w:id="48"/>
    <w:bookmarkStart w:id="53" w:name="X84aaaf78436e71c62f1a5d057ff03ee3694b5f4"/>
    <w:p>
      <w:pPr>
        <w:pStyle w:val="Heading2"/>
      </w:pPr>
      <w:r>
        <w:t xml:space="preserve">SolidWorks PDM-to-RapidDraft integration mapping and security</w:t>
      </w:r>
    </w:p>
    <w:bookmarkStart w:id="49" w:name="Xbedd980ff4d04403496995de01104953676c0ad"/>
    <w:p>
      <w:pPr>
        <w:pStyle w:val="Heading3"/>
      </w:pPr>
      <w:r>
        <w:t xml:space="preserve">What can be asserted from SOMIC sources vs what must remain an assumption</w:t>
      </w:r>
    </w:p>
    <w:p>
      <w:pPr>
        <w:pStyle w:val="FirstParagraph"/>
      </w:pPr>
      <w:r>
        <w:t xml:space="preserve">SOMIC-owned pages accessed for this report do not identify a specific PDM vendor; they only establish that engineering uses CAD for production-ready drawings and assemblies, and that SOMIC operates documentation/online service mechanisms (online spare parts documentation via customer login; system protocol; remote maintenance including VPN in a case study).</w:t>
      </w:r>
      <w:r>
        <w:t xml:space="preserve"> </w:t>
      </w:r>
      <w:hyperlink r:id="rId24">
        <w:r>
          <w:rPr>
            <w:rStyle w:val="Hyperlink"/>
          </w:rPr>
          <w:t xml:space="preserve">[29]</w:t>
        </w:r>
      </w:hyperlink>
      <w:r>
        <w:br/>
      </w:r>
      <w:r>
        <w:t xml:space="preserve">Therefore, anything that follows about “SolidWorks PDM” is an</w:t>
      </w:r>
      <w:r>
        <w:t xml:space="preserve"> </w:t>
      </w:r>
      <w:r>
        <w:rPr>
          <w:b/>
          <w:bCs/>
        </w:rPr>
        <w:t xml:space="preserve">integration design assumption</w:t>
      </w:r>
      <w:r>
        <w:t xml:space="preserve"> </w:t>
      </w:r>
      <w:r>
        <w:t xml:space="preserve">made solely because you requested this mapping and asked to assume RapidDraft can connect to SolidWorks PDM.</w:t>
      </w:r>
    </w:p>
    <w:bookmarkEnd w:id="49"/>
    <w:bookmarkStart w:id="50" w:name="integration-options"/>
    <w:p>
      <w:pPr>
        <w:pStyle w:val="Heading3"/>
      </w:pPr>
      <w:r>
        <w:t xml:space="preserve">Integration options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Option</w:t>
            </w:r>
          </w:p>
        </w:tc>
        <w:tc>
          <w:tcPr/>
          <w:p>
            <w:pPr>
              <w:pStyle w:val="Compact"/>
            </w:pPr>
            <w:r>
              <w:t xml:space="preserve">Description</w:t>
            </w:r>
          </w:p>
        </w:tc>
        <w:tc>
          <w:tcPr/>
          <w:p>
            <w:pPr>
              <w:pStyle w:val="Compact"/>
            </w:pPr>
            <w:r>
              <w:t xml:space="preserve">Pros</w:t>
            </w:r>
          </w:p>
        </w:tc>
        <w:tc>
          <w:tcPr/>
          <w:p>
            <w:pPr>
              <w:pStyle w:val="Compact"/>
            </w:pPr>
            <w:r>
              <w:t xml:space="preserve">Cons</w:t>
            </w:r>
          </w:p>
        </w:tc>
        <w:tc>
          <w:tcPr/>
          <w:p>
            <w:pPr>
              <w:pStyle w:val="Compact"/>
            </w:pPr>
            <w:r>
              <w:t xml:space="preserve">Fit to SOMIC signals</w:t>
            </w:r>
          </w:p>
        </w:tc>
      </w:tr>
      <w:tr>
        <w:tc>
          <w:tcPr/>
          <w:p>
            <w:pPr>
              <w:pStyle w:val="Compact"/>
            </w:pPr>
            <w:r>
              <w:t xml:space="preserve">Metadata-only bridge</w:t>
            </w:r>
          </w:p>
        </w:tc>
        <w:tc>
          <w:tcPr/>
          <w:p>
            <w:pPr>
              <w:pStyle w:val="Compact"/>
            </w:pPr>
            <w:r>
              <w:t xml:space="preserve">RapidDraft reads PDM metadata + downloads neutral derivatives (PDF/STEP) for baseline/candidate compare; stores report back as a related document</w:t>
            </w:r>
          </w:p>
        </w:tc>
        <w:tc>
          <w:tcPr/>
          <w:p>
            <w:pPr>
              <w:pStyle w:val="Compact"/>
            </w:pPr>
            <w:r>
              <w:t xml:space="preserve">Fastest path to demo; minimizes disruption; supports evidence-first review</w:t>
            </w:r>
          </w:p>
        </w:tc>
        <w:tc>
          <w:tcPr/>
          <w:p>
            <w:pPr>
              <w:pStyle w:val="Compact"/>
            </w:pPr>
            <w:r>
              <w:t xml:space="preserve">Less deep CAD intelligence; depends on reliable derivative generation</w:t>
            </w:r>
          </w:p>
        </w:tc>
        <w:tc>
          <w:tcPr/>
          <w:p>
            <w:pPr>
              <w:pStyle w:val="Compact"/>
            </w:pPr>
            <w:r>
              <w:t xml:space="preserve">Strong alignment: SOMIC relies on manuals, clear steps, and documentation; a PDF-based “revision-before-release” report naturally fits that ecosystem.</w:t>
            </w:r>
            <w:r>
              <w:t xml:space="preserve"> </w:t>
            </w:r>
            <w:hyperlink r:id="rId41">
              <w:r>
                <w:rPr>
                  <w:rStyle w:val="Hyperlink"/>
                </w:rPr>
                <w:t xml:space="preserve">[30]</w:t>
              </w:r>
            </w:hyperlink>
          </w:p>
        </w:tc>
      </w:tr>
      <w:tr>
        <w:tc>
          <w:tcPr/>
          <w:p>
            <w:pPr>
              <w:pStyle w:val="Compact"/>
            </w:pPr>
            <w:r>
              <w:t xml:space="preserve">Vault-native workflow integration</w:t>
            </w:r>
          </w:p>
        </w:tc>
        <w:tc>
          <w:tcPr/>
          <w:p>
            <w:pPr>
              <w:pStyle w:val="Compact"/>
            </w:pPr>
            <w:r>
              <w:t xml:space="preserve">RapidDraft reads files and states (revision, workflow) and can optionally trigger transitions (e.g., “ready for release”) after checklist passes</w:t>
            </w:r>
          </w:p>
        </w:tc>
        <w:tc>
          <w:tcPr/>
          <w:p>
            <w:pPr>
              <w:pStyle w:val="Compact"/>
            </w:pPr>
            <w:r>
              <w:t xml:space="preserve">Highest operational ROI; enforces release discipline</w:t>
            </w:r>
          </w:p>
        </w:tc>
        <w:tc>
          <w:tcPr/>
          <w:p>
            <w:pPr>
              <w:pStyle w:val="Compact"/>
            </w:pPr>
            <w:r>
              <w:t xml:space="preserve">Riskier in pilot (permissions, governance); depends on PDM APIs and admin buy-in</w:t>
            </w:r>
          </w:p>
        </w:tc>
        <w:tc>
          <w:tcPr/>
          <w:p>
            <w:pPr>
              <w:pStyle w:val="Compact"/>
            </w:pPr>
            <w:r>
              <w:t xml:space="preserve">Aligns with QuickChange “no tweaking” ethos where correct release prevents downtime; also aligns with long lifecycle/remote support needs.</w:t>
            </w:r>
            <w:r>
              <w:t xml:space="preserve"> </w:t>
            </w:r>
            <w:hyperlink r:id="rId22">
              <w:r>
                <w:rPr>
                  <w:rStyle w:val="Hyperlink"/>
                </w:rPr>
                <w:t xml:space="preserve">[31]</w:t>
              </w:r>
            </w:hyperlink>
          </w:p>
        </w:tc>
      </w:tr>
      <w:tr>
        <w:tc>
          <w:tcPr/>
          <w:p>
            <w:pPr>
              <w:pStyle w:val="Compact"/>
            </w:pPr>
            <w:r>
              <w:t xml:space="preserve">Service-documentation linkage</w:t>
            </w:r>
          </w:p>
        </w:tc>
        <w:tc>
          <w:tcPr/>
          <w:p>
            <w:pPr>
              <w:pStyle w:val="Compact"/>
            </w:pPr>
            <w:r>
              <w:t xml:space="preserve">RapidDraft stores release reports and “change narratives” in a way that service can retrieve alongside spare parts documentation</w:t>
            </w:r>
          </w:p>
        </w:tc>
        <w:tc>
          <w:tcPr/>
          <w:p>
            <w:pPr>
              <w:pStyle w:val="Compact"/>
            </w:pPr>
            <w:r>
              <w:t xml:space="preserve">Makes engineering review useful downstream</w:t>
            </w:r>
          </w:p>
        </w:tc>
        <w:tc>
          <w:tcPr/>
          <w:p>
            <w:pPr>
              <w:pStyle w:val="Compact"/>
            </w:pPr>
            <w:r>
              <w:t xml:space="preserve">Requires agreement on taxonomy and access policies</w:t>
            </w:r>
          </w:p>
        </w:tc>
        <w:tc>
          <w:tcPr/>
          <w:p>
            <w:pPr>
              <w:pStyle w:val="Compact"/>
            </w:pPr>
            <w:r>
              <w:t xml:space="preserve">Matches SOMIC’s explicit online spare parts documentation and system protocol/service flows.</w:t>
            </w:r>
            <w:r>
              <w:t xml:space="preserve"> </w:t>
            </w:r>
            <w:hyperlink r:id="rId45">
              <w:r>
                <w:rPr>
                  <w:rStyle w:val="Hyperlink"/>
                </w:rPr>
                <w:t xml:space="preserve">[28]</w:t>
              </w:r>
            </w:hyperlink>
          </w:p>
        </w:tc>
      </w:tr>
    </w:tbl>
    <w:bookmarkEnd w:id="50"/>
    <w:bookmarkStart w:id="51" w:name="Xe324eae9e13c84cdf3ec9ba5a5b6c2274ec29d5"/>
    <w:p>
      <w:pPr>
        <w:pStyle w:val="Heading3"/>
      </w:pPr>
      <w:r>
        <w:t xml:space="preserve">Concept mapping (typical SolidWorks PDM concepts → RapidDraft objects)</w:t>
      </w:r>
    </w:p>
    <w:p>
      <w:pPr>
        <w:pStyle w:val="FirstParagraph"/>
      </w:pPr>
      <w:r>
        <w:t xml:space="preserve">The table below is intentionally phrased as “typical vaulted PDM concepts” (assumption) mapped to RapidDraft concepts required for the SOMIC pilot.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Typical SolidWorks PDM concept (assumption)</w:t>
            </w:r>
          </w:p>
        </w:tc>
        <w:tc>
          <w:tcPr/>
          <w:p>
            <w:pPr>
              <w:pStyle w:val="Compact"/>
            </w:pPr>
            <w:r>
              <w:t xml:space="preserve">RapidDraft mapping</w:t>
            </w:r>
          </w:p>
        </w:tc>
        <w:tc>
          <w:tcPr/>
          <w:p>
            <w:pPr>
              <w:pStyle w:val="Compact"/>
            </w:pPr>
            <w:r>
              <w:t xml:space="preserve">Required metadata fields (minimum)</w:t>
            </w:r>
          </w:p>
        </w:tc>
        <w:tc>
          <w:tcPr/>
          <w:p>
            <w:pPr>
              <w:pStyle w:val="Compact"/>
            </w:pPr>
            <w:r>
              <w:t xml:space="preserve">Required operations / APIs (minimum)</w:t>
            </w:r>
          </w:p>
        </w:tc>
        <w:tc>
          <w:tcPr/>
          <w:p>
            <w:pPr>
              <w:pStyle w:val="Compact"/>
            </w:pPr>
            <w:r>
              <w:t xml:space="preserve">Security &amp; permissions considerations</w:t>
            </w:r>
          </w:p>
        </w:tc>
      </w:tr>
      <w:tr>
        <w:tc>
          <w:tcPr/>
          <w:p>
            <w:pPr>
              <w:pStyle w:val="Compact"/>
            </w:pPr>
            <w:r>
              <w:t xml:space="preserve">Vault / repository</w:t>
            </w:r>
          </w:p>
        </w:tc>
        <w:tc>
          <w:tcPr/>
          <w:p>
            <w:pPr>
              <w:pStyle w:val="Compact"/>
            </w:pPr>
            <w:r>
              <w:t xml:space="preserve">Workspace connector</w:t>
            </w:r>
          </w:p>
        </w:tc>
        <w:tc>
          <w:tcPr/>
          <w:p>
            <w:pPr>
              <w:pStyle w:val="Compact"/>
            </w:pPr>
            <w:r>
              <w:t xml:space="preserve">Vault ID, server/tenant ID</w:t>
            </w:r>
          </w:p>
        </w:tc>
        <w:tc>
          <w:tcPr/>
          <w:p>
            <w:pPr>
              <w:pStyle w:val="Compact"/>
            </w:pPr>
            <w:r>
              <w:t xml:space="preserve">Authenticate, list/search</w:t>
            </w:r>
          </w:p>
        </w:tc>
        <w:tc>
          <w:tcPr/>
          <w:p>
            <w:pPr>
              <w:pStyle w:val="Compact"/>
            </w:pPr>
            <w:r>
              <w:t xml:space="preserve">Use least privilege; do not bypass vault ACLs; prefer on-behalf-of user tokens for auditability (design requirement; not SOMIC-sourced).</w:t>
            </w:r>
          </w:p>
        </w:tc>
      </w:tr>
      <w:tr>
        <w:tc>
          <w:tcPr/>
          <w:p>
            <w:pPr>
              <w:pStyle w:val="Compact"/>
            </w:pPr>
            <w:r>
              <w:t xml:space="preserve">File (drawing, assembly, PDF derivative)</w:t>
            </w:r>
          </w:p>
        </w:tc>
        <w:tc>
          <w:tcPr/>
          <w:p>
            <w:pPr>
              <w:pStyle w:val="Compact"/>
            </w:pPr>
            <w:r>
              <w:t xml:space="preserve">Artifact</w:t>
            </w:r>
          </w:p>
        </w:tc>
        <w:tc>
          <w:tcPr/>
          <w:p>
            <w:pPr>
              <w:pStyle w:val="Compact"/>
            </w:pPr>
            <w:r>
              <w:t xml:space="preserve">File ID, filename, type (drawing/assembly/doc), checksum</w:t>
            </w:r>
          </w:p>
        </w:tc>
        <w:tc>
          <w:tcPr/>
          <w:p>
            <w:pPr>
              <w:pStyle w:val="Compact"/>
            </w:pPr>
            <w:r>
              <w:t xml:space="preserve">Get file, get derivative</w:t>
            </w:r>
          </w:p>
        </w:tc>
        <w:tc>
          <w:tcPr/>
          <w:p>
            <w:pPr>
              <w:pStyle w:val="Compact"/>
            </w:pPr>
            <w:r>
              <w:t xml:space="preserve">RapidDraft must inherit PDM read permissions; cache encrypted at rest; apply TTL (design requirement).</w:t>
            </w:r>
          </w:p>
        </w:tc>
      </w:tr>
      <w:tr>
        <w:tc>
          <w:tcPr/>
          <w:p>
            <w:pPr>
              <w:pStyle w:val="Compact"/>
            </w:pPr>
            <w:r>
              <w:t xml:space="preserve">Version vs revision</w:t>
            </w:r>
          </w:p>
        </w:tc>
        <w:tc>
          <w:tcPr/>
          <w:p>
            <w:pPr>
              <w:pStyle w:val="Compact"/>
            </w:pPr>
            <w:r>
              <w:t xml:space="preserve">ArtifactRevision</w:t>
            </w:r>
          </w:p>
        </w:tc>
        <w:tc>
          <w:tcPr/>
          <w:p>
            <w:pPr>
              <w:pStyle w:val="Compact"/>
            </w:pPr>
            <w:r>
              <w:t xml:space="preserve">Revision label, version number, lifecycle state</w:t>
            </w:r>
          </w:p>
        </w:tc>
        <w:tc>
          <w:tcPr/>
          <w:p>
            <w:pPr>
              <w:pStyle w:val="Compact"/>
            </w:pPr>
            <w:r>
              <w:t xml:space="preserve">Get version history, resolve baseline/candidate</w:t>
            </w:r>
          </w:p>
        </w:tc>
        <w:tc>
          <w:tcPr/>
          <w:p>
            <w:pPr>
              <w:pStyle w:val="Compact"/>
            </w:pPr>
            <w:r>
              <w:t xml:space="preserve">Must prevent comparing unreleased “scratch” unless explicitly allowed; store comparison provenance for audit (design requirement).</w:t>
            </w:r>
          </w:p>
        </w:tc>
      </w:tr>
      <w:tr>
        <w:tc>
          <w:tcPr/>
          <w:p>
            <w:pPr>
              <w:pStyle w:val="Compact"/>
            </w:pPr>
            <w:r>
              <w:t xml:space="preserve">Lifecycle/workflow state</w:t>
            </w:r>
          </w:p>
        </w:tc>
        <w:tc>
          <w:tcPr/>
          <w:p>
            <w:pPr>
              <w:pStyle w:val="Compact"/>
            </w:pPr>
            <w:r>
              <w:t xml:space="preserve">Release gate</w:t>
            </w:r>
          </w:p>
        </w:tc>
        <w:tc>
          <w:tcPr/>
          <w:p>
            <w:pPr>
              <w:pStyle w:val="Compact"/>
            </w:pPr>
            <w:r>
              <w:t xml:space="preserve">State name, transition rules</w:t>
            </w:r>
          </w:p>
        </w:tc>
        <w:tc>
          <w:tcPr/>
          <w:p>
            <w:pPr>
              <w:pStyle w:val="Compact"/>
            </w:pPr>
            <w:r>
              <w:t xml:space="preserve">Read state; (optional) set state</w:t>
            </w:r>
          </w:p>
        </w:tc>
        <w:tc>
          <w:tcPr/>
          <w:p>
            <w:pPr>
              <w:pStyle w:val="Compact"/>
            </w:pPr>
            <w:r>
              <w:t xml:space="preserve">For pilot: start read-only; write operations gated by admin-approved service account or explicit delegated rights (design requirement).</w:t>
            </w:r>
          </w:p>
        </w:tc>
      </w:tr>
      <w:tr>
        <w:tc>
          <w:tcPr/>
          <w:p>
            <w:pPr>
              <w:pStyle w:val="Compact"/>
            </w:pPr>
            <w:r>
              <w:t xml:space="preserve">Data card variables / custom properties</w:t>
            </w:r>
          </w:p>
        </w:tc>
        <w:tc>
          <w:tcPr/>
          <w:p>
            <w:pPr>
              <w:pStyle w:val="Compact"/>
            </w:pPr>
            <w:r>
              <w:t xml:space="preserve">Metadata snapshot</w:t>
            </w:r>
          </w:p>
        </w:tc>
        <w:tc>
          <w:tcPr/>
          <w:p>
            <w:pPr>
              <w:pStyle w:val="Compact"/>
            </w:pPr>
            <w:r>
              <w:t xml:space="preserve">Customer/project ID, machine platform family (e.g., 434), module (grouping/format change), format range, impacted part codes</w:t>
            </w:r>
          </w:p>
        </w:tc>
        <w:tc>
          <w:tcPr/>
          <w:p>
            <w:pPr>
              <w:pStyle w:val="Compact"/>
            </w:pPr>
            <w:r>
              <w:t xml:space="preserve">Read variables; (optional) write variables</w:t>
            </w:r>
          </w:p>
        </w:tc>
        <w:tc>
          <w:tcPr/>
          <w:p>
            <w:pPr>
              <w:pStyle w:val="Compact"/>
            </w:pPr>
            <w:r>
              <w:t xml:space="preserve">Justification for fields: format range and later format adaptations are core SOMIC claims; part codes are explicitly used in changeover instructions.</w:t>
            </w:r>
            <w:r>
              <w:t xml:space="preserve"> </w:t>
            </w:r>
            <w:hyperlink r:id="rId22">
              <w:r>
                <w:rPr>
                  <w:rStyle w:val="Hyperlink"/>
                </w:rPr>
                <w:t xml:space="preserve">[32]</w:t>
              </w:r>
            </w:hyperlink>
          </w:p>
        </w:tc>
      </w:tr>
      <w:tr>
        <w:tc>
          <w:tcPr/>
          <w:p>
            <w:pPr>
              <w:pStyle w:val="Compact"/>
            </w:pPr>
            <w:r>
              <w:t xml:space="preserve">Reference tree (assembly structure)</w:t>
            </w:r>
          </w:p>
        </w:tc>
        <w:tc>
          <w:tcPr/>
          <w:p>
            <w:pPr>
              <w:pStyle w:val="Compact"/>
            </w:pPr>
            <w:r>
              <w:t xml:space="preserve">Dependency graph</w:t>
            </w:r>
          </w:p>
        </w:tc>
        <w:tc>
          <w:tcPr/>
          <w:p>
            <w:pPr>
              <w:pStyle w:val="Compact"/>
            </w:pPr>
            <w:r>
              <w:t xml:space="preserve">Parent/child references, configuration IDs</w:t>
            </w:r>
          </w:p>
        </w:tc>
        <w:tc>
          <w:tcPr/>
          <w:p>
            <w:pPr>
              <w:pStyle w:val="Compact"/>
            </w:pPr>
            <w:r>
              <w:t xml:space="preserve">Get referenced files (BOM-like resolution)</w:t>
            </w:r>
          </w:p>
        </w:tc>
        <w:tc>
          <w:tcPr/>
          <w:p>
            <w:pPr>
              <w:pStyle w:val="Compact"/>
            </w:pPr>
            <w:r>
              <w:t xml:space="preserve">Avoid over-fetching unrelated IP; “scope by module” is critical, consistent with SOMIC’s modular functional-group framing.</w:t>
            </w:r>
            <w:r>
              <w:t xml:space="preserve"> </w:t>
            </w:r>
            <w:hyperlink r:id="rId21">
              <w:r>
                <w:rPr>
                  <w:rStyle w:val="Hyperlink"/>
                </w:rPr>
                <w:t xml:space="preserve">[33]</w:t>
              </w:r>
            </w:hyperlink>
          </w:p>
        </w:tc>
      </w:tr>
      <w:tr>
        <w:tc>
          <w:tcPr/>
          <w:p>
            <w:pPr>
              <w:pStyle w:val="Compact"/>
            </w:pPr>
            <w:r>
              <w:t xml:space="preserve">Related documents</w:t>
            </w:r>
          </w:p>
        </w:tc>
        <w:tc>
          <w:tcPr/>
          <w:p>
            <w:pPr>
              <w:pStyle w:val="Compact"/>
            </w:pPr>
            <w:r>
              <w:t xml:space="preserve">Review report attachment</w:t>
            </w:r>
          </w:p>
        </w:tc>
        <w:tc>
          <w:tcPr/>
          <w:p>
            <w:pPr>
              <w:pStyle w:val="Compact"/>
            </w:pPr>
            <w:r>
              <w:t xml:space="preserve">Relation type, related file IDs</w:t>
            </w:r>
          </w:p>
        </w:tc>
        <w:tc>
          <w:tcPr/>
          <w:p>
            <w:pPr>
              <w:pStyle w:val="Compact"/>
            </w:pPr>
            <w:r>
              <w:t xml:space="preserve">Attach/upload report; link to candidate revision</w:t>
            </w:r>
          </w:p>
        </w:tc>
        <w:tc>
          <w:tcPr/>
          <w:p>
            <w:pPr>
              <w:pStyle w:val="Compact"/>
            </w:pPr>
            <w:r>
              <w:t xml:space="preserve">Natural fit to SOMIC’s documentation-centric service posture (spare parts documentation; system protocol).</w:t>
            </w:r>
            <w:r>
              <w:t xml:space="preserve"> </w:t>
            </w:r>
            <w:hyperlink r:id="rId45">
              <w:r>
                <w:rPr>
                  <w:rStyle w:val="Hyperlink"/>
                </w:rPr>
                <w:t xml:space="preserve">[28]</w:t>
              </w:r>
            </w:hyperlink>
          </w:p>
        </w:tc>
      </w:tr>
    </w:tbl>
    <w:bookmarkEnd w:id="51"/>
    <w:bookmarkStart w:id="52" w:name="X22cc1e55f1e6050535f0db9f767231f503d3ba4"/>
    <w:p>
      <w:pPr>
        <w:pStyle w:val="Heading3"/>
      </w:pPr>
      <w:r>
        <w:t xml:space="preserve">Data flow between SolidWorks PDM and RapidDraft (mermaid)</w:t>
      </w:r>
    </w:p>
    <w:p>
      <w:pPr>
        <w:pStyle w:val="SourceCode"/>
      </w:pPr>
      <w:r>
        <w:rPr>
          <w:rStyle w:val="VerbatimChar"/>
        </w:rPr>
        <w:t xml:space="preserve">flowchart LR</w:t>
      </w:r>
      <w:r>
        <w:br/>
      </w:r>
      <w:r>
        <w:rPr>
          <w:rStyle w:val="VerbatimChar"/>
        </w:rPr>
        <w:t xml:space="preserve">    U[Engineer] --&gt; RD[RapidDraft Review Session]</w:t>
      </w:r>
      <w:r>
        <w:br/>
      </w:r>
      <w:r>
        <w:rPr>
          <w:rStyle w:val="VerbatimChar"/>
        </w:rPr>
        <w:t xml:space="preserve">    RD --&gt;|Auth + search| PDM[(SolidWorks PDM Vault)]</w:t>
      </w:r>
      <w:r>
        <w:br/>
      </w:r>
      <w:r>
        <w:rPr>
          <w:rStyle w:val="VerbatimChar"/>
        </w:rPr>
        <w:t xml:space="preserve">    RD --&gt;|Fetch baseline revision artifacts| PDM</w:t>
      </w:r>
      <w:r>
        <w:br/>
      </w:r>
      <w:r>
        <w:rPr>
          <w:rStyle w:val="VerbatimChar"/>
        </w:rPr>
        <w:t xml:space="preserve">    RD --&gt;|Fetch candidate revision artifacts| PDM</w:t>
      </w:r>
      <w:r>
        <w:br/>
      </w:r>
      <w:r>
        <w:rPr>
          <w:rStyle w:val="VerbatimChar"/>
        </w:rPr>
        <w:t xml:space="preserve">    RD --&gt; ENG[Change extraction + release checklist]</w:t>
      </w:r>
      <w:r>
        <w:br/>
      </w:r>
      <w:r>
        <w:rPr>
          <w:rStyle w:val="VerbatimChar"/>
        </w:rPr>
        <w:t xml:space="preserve">    ENG --&gt; ISS[Issues + decision log]</w:t>
      </w:r>
      <w:r>
        <w:br/>
      </w:r>
      <w:r>
        <w:rPr>
          <w:rStyle w:val="VerbatimChar"/>
        </w:rPr>
        <w:t xml:space="preserve">    ENG --&gt; REP[Revision-before-release report]</w:t>
      </w:r>
      <w:r>
        <w:br/>
      </w:r>
      <w:r>
        <w:rPr>
          <w:rStyle w:val="VerbatimChar"/>
        </w:rPr>
        <w:t xml:space="preserve">    REP --&gt;|Upload/attach report (optional)| PDM</w:t>
      </w:r>
      <w:r>
        <w:br/>
      </w:r>
      <w:r>
        <w:rPr>
          <w:rStyle w:val="VerbatimChar"/>
        </w:rPr>
        <w:t xml:space="preserve">    ISS --&gt;|Optional: write-back status/links| PDM</w:t>
      </w:r>
    </w:p>
    <w:bookmarkEnd w:id="52"/>
    <w:bookmarkEnd w:id="53"/>
    <w:bookmarkStart w:id="58" w:name="risks-open-questions-and-next-steps"/>
    <w:p>
      <w:pPr>
        <w:pStyle w:val="Heading2"/>
      </w:pPr>
      <w:r>
        <w:t xml:space="preserve">Risks, open questions, and next steps</w:t>
      </w:r>
    </w:p>
    <w:bookmarkStart w:id="54" w:name="key-risks"/>
    <w:p>
      <w:pPr>
        <w:pStyle w:val="Heading3"/>
      </w:pPr>
      <w:r>
        <w:t xml:space="preserve">Key risks</w:t>
      </w:r>
    </w:p>
    <w:p>
      <w:pPr>
        <w:pStyle w:val="FirstParagraph"/>
      </w:pPr>
      <w:r>
        <w:t xml:space="preserve">The single biggest risk is tool-stack mismatch: SOMIC’s public pages confirm CAD-based drawings and assemblies and a strong documentation/service posture, but they do not name a PDM vendor. A SolidWorks PDM integration effort could therefore be wasted if SOMIC uses a different stack; the pilot must be vendor-agnostic at first (PDF/derivative-based), then deepen integration after confirming the real environment.</w:t>
      </w:r>
      <w:r>
        <w:t xml:space="preserve"> </w:t>
      </w:r>
      <w:hyperlink r:id="rId24">
        <w:r>
          <w:rPr>
            <w:rStyle w:val="Hyperlink"/>
          </w:rPr>
          <w:t xml:space="preserve">[34]</w:t>
        </w:r>
      </w:hyperlink>
    </w:p>
    <w:p>
      <w:pPr>
        <w:pStyle w:val="BodyText"/>
      </w:pPr>
      <w:r>
        <w:t xml:space="preserve">A second risk is credibility erosion from “fuzzy diffs.” SOMIC’s QuickChange positioning (“no tweaking”), part-code driven changeover guidance, and machine-side automatic checks imply that SOMIC expects deterministic, evidence-first systems. If RapidDraft presents changes without evidence anchors, engineering leads will discount the output.</w:t>
      </w:r>
      <w:r>
        <w:t xml:space="preserve"> </w:t>
      </w:r>
      <w:hyperlink r:id="rId22">
        <w:r>
          <w:rPr>
            <w:rStyle w:val="Hyperlink"/>
          </w:rPr>
          <w:t xml:space="preserve">[23]</w:t>
        </w:r>
      </w:hyperlink>
    </w:p>
    <w:p>
      <w:pPr>
        <w:pStyle w:val="BodyText"/>
      </w:pPr>
      <w:r>
        <w:t xml:space="preserve">A third risk is scope creep into simulation and controls: RealSource Simulation and advance testing of mechanical/electrical/software suggest cross-discipline coupling, but a pilot demo that tries to cover full mechatronic validation will likely fail in 2–3 days. The demo should acknowledge RealSource coupling, but focus execution on revision diffs + release gating for drawings/assemblies + documentation linkage.</w:t>
      </w:r>
      <w:r>
        <w:t xml:space="preserve"> </w:t>
      </w:r>
      <w:hyperlink r:id="rId21">
        <w:r>
          <w:rPr>
            <w:rStyle w:val="Hyperlink"/>
          </w:rPr>
          <w:t xml:space="preserve">[17]</w:t>
        </w:r>
      </w:hyperlink>
    </w:p>
    <w:bookmarkEnd w:id="54"/>
    <w:bookmarkStart w:id="56" w:name="Xd068375ced8244904c4e65c674acdc37ce70cc6"/>
    <w:p>
      <w:pPr>
        <w:pStyle w:val="Heading3"/>
      </w:pPr>
      <w:r>
        <w:t xml:space="preserve">Open questions to resolve with SOMIC in the first meeting</w:t>
      </w:r>
    </w:p>
    <w:p>
      <w:pPr>
        <w:pStyle w:val="FirstParagraph"/>
      </w:pPr>
      <w:r>
        <w:t xml:space="preserve">SOMIC’s actual CAD/PDM/PLM stack is unknown from public sources; confirm: CAD system(s), PDM/PLM vendor, revision semantics (version vs revision), and release workflow states.</w:t>
      </w:r>
      <w:r>
        <w:t xml:space="preserve"> </w:t>
      </w:r>
      <w:hyperlink r:id="rId24">
        <w:r>
          <w:rPr>
            <w:rStyle w:val="Hyperlink"/>
          </w:rPr>
          <w:t xml:space="preserve">[4]</w:t>
        </w:r>
      </w:hyperlink>
    </w:p>
    <w:p>
      <w:pPr>
        <w:pStyle w:val="BodyText"/>
      </w:pPr>
      <w:r>
        <w:t xml:space="preserve">Confirm the practical “release artifact set” for format changes: which documents must be updated together (drawings, change-part lists, operator manuals, parameter sets). This matters because SOMIC describes manuals/sequence instructions with part codes and also remote programming of format programs.</w:t>
      </w:r>
      <w:r>
        <w:t xml:space="preserve"> </w:t>
      </w:r>
      <w:hyperlink r:id="rId28">
        <w:r>
          <w:rPr>
            <w:rStyle w:val="Hyperlink"/>
          </w:rPr>
          <w:t xml:space="preserve">[35]</w:t>
        </w:r>
      </w:hyperlink>
    </w:p>
    <w:p>
      <w:pPr>
        <w:pStyle w:val="BodyText"/>
      </w:pPr>
      <w:r>
        <w:t xml:space="preserve">Confirm the internal pain indicator: where do revision errors hurt most—manufacturing rework, commissioning/virtual FAT delays, operator downtime during format changes, or service escalations during remote maintenance. SOMIC’s pages support all these as realistic impact points, but the pilot should target the one that leadership feels weekly.</w:t>
      </w:r>
      <w:r>
        <w:t xml:space="preserve"> </w:t>
      </w:r>
      <w:hyperlink r:id="rId55">
        <w:r>
          <w:rPr>
            <w:rStyle w:val="Hyperlink"/>
          </w:rPr>
          <w:t xml:space="preserve">[36]</w:t>
        </w:r>
      </w:hyperlink>
    </w:p>
    <w:bookmarkEnd w:id="56"/>
    <w:bookmarkStart w:id="57" w:name="X2c2b27c99d09f98a0b30d3ba5983f8d89c9ba68"/>
    <w:p>
      <w:pPr>
        <w:pStyle w:val="Heading3"/>
      </w:pPr>
      <w:r>
        <w:t xml:space="preserve">Next steps that maximize pilot conversion probability</w:t>
      </w:r>
    </w:p>
    <w:p>
      <w:pPr>
        <w:pStyle w:val="FirstParagraph"/>
      </w:pPr>
      <w:r>
        <w:t xml:space="preserve">Request two real artifact snapshots from SOMIC: a released baseline and a candidate revision for a QuickChange-relevant module or format-change set (drawings + at least one assembly + any instruction/manual artifact). This aligns directly with SOMIC’s documented reliance on drawings/assemblies and changeover documentation.</w:t>
      </w:r>
      <w:r>
        <w:t xml:space="preserve"> </w:t>
      </w:r>
      <w:hyperlink r:id="rId24">
        <w:r>
          <w:rPr>
            <w:rStyle w:val="Hyperlink"/>
          </w:rPr>
          <w:t xml:space="preserve">[37]</w:t>
        </w:r>
      </w:hyperlink>
    </w:p>
    <w:p>
      <w:pPr>
        <w:pStyle w:val="BodyText"/>
      </w:pPr>
      <w:r>
        <w:t xml:space="preserve">Commit to a pilot success metric that maps to SOMIC’s own operational story: reduced time-to-understand changes between revisions and reduced release errors that would break guided “no tweaking” changeovers. This is grounded in how SOMIC markets QuickChange and multi-format operation.</w:t>
      </w:r>
      <w:r>
        <w:t xml:space="preserve"> </w:t>
      </w:r>
      <w:hyperlink r:id="rId22">
        <w:r>
          <w:rPr>
            <w:rStyle w:val="Hyperlink"/>
          </w:rPr>
          <w:t xml:space="preserve">[38]</w:t>
        </w:r>
      </w:hyperlink>
    </w:p>
    <w:p>
      <w:pPr>
        <w:pStyle w:val="BodyText"/>
      </w:pPr>
      <w:r>
        <w:t xml:space="preserve">Keep integration lightweight until the stack is confirmed: demonstrate store-back as “attach report to candidate revision” and defer workflow-state transitions until governance is agreed. This aligns with SOMIC’s documentation-centric after-sales posture (online spare parts documentation; system protocol), where attaching evidence artifacts is already culturally consistent.</w:t>
      </w:r>
      <w:r>
        <w:t xml:space="preserve"> </w:t>
      </w:r>
      <w:hyperlink r:id="rId45">
        <w:r>
          <w:rPr>
            <w:rStyle w:val="Hyperlink"/>
          </w:rPr>
          <w:t xml:space="preserve">[28]</w:t>
        </w:r>
      </w:hyperlink>
    </w:p>
    <w:bookmarkEnd w:id="57"/>
    <w:bookmarkEnd w:id="58"/>
    <w:bookmarkEnd w:id="59"/>
    <w:bookmarkEnd w:id="60"/>
    <w:p>
      <w:r>
        <w:pict>
          <v:rect style="width:0;height:1.5pt" o:hralign="center" o:hrstd="t" o:hr="t"/>
        </w:pict>
      </w:r>
    </w:p>
    <w:bookmarkStart w:id="61" w:name="citations"/>
    <w:p>
      <w:pPr>
        <w:pStyle w:val="FirstParagraph"/>
      </w:pPr>
      <w:hyperlink r:id="rId21">
        <w:r>
          <w:rPr>
            <w:rStyle w:val="Hyperlink"/>
          </w:rPr>
          <w:t xml:space="preserve">[1]</w:t>
        </w:r>
      </w:hyperlink>
      <w:r>
        <w:t xml:space="preserve"> </w:t>
      </w:r>
      <w:hyperlink r:id="rId21">
        <w:r>
          <w:rPr>
            <w:rStyle w:val="Hyperlink"/>
          </w:rPr>
          <w:t xml:space="preserve">[15]</w:t>
        </w:r>
      </w:hyperlink>
      <w:r>
        <w:t xml:space="preserve"> </w:t>
      </w:r>
      <w:hyperlink r:id="rId21">
        <w:r>
          <w:rPr>
            <w:rStyle w:val="Hyperlink"/>
          </w:rPr>
          <w:t xml:space="preserve">[17]</w:t>
        </w:r>
      </w:hyperlink>
      <w:r>
        <w:t xml:space="preserve"> </w:t>
      </w:r>
      <w:hyperlink r:id="rId21">
        <w:r>
          <w:rPr>
            <w:rStyle w:val="Hyperlink"/>
          </w:rPr>
          <w:t xml:space="preserve">[18]</w:t>
        </w:r>
      </w:hyperlink>
      <w:r>
        <w:t xml:space="preserve"> </w:t>
      </w:r>
      <w:hyperlink r:id="rId21">
        <w:r>
          <w:rPr>
            <w:rStyle w:val="Hyperlink"/>
          </w:rPr>
          <w:t xml:space="preserve">[21]</w:t>
        </w:r>
      </w:hyperlink>
      <w:r>
        <w:t xml:space="preserve"> </w:t>
      </w:r>
      <w:hyperlink r:id="rId21">
        <w:r>
          <w:rPr>
            <w:rStyle w:val="Hyperlink"/>
          </w:rPr>
          <w:t xml:space="preserve">[22]</w:t>
        </w:r>
      </w:hyperlink>
      <w:r>
        <w:t xml:space="preserve"> </w:t>
      </w:r>
      <w:hyperlink r:id="rId21">
        <w:r>
          <w:rPr>
            <w:rStyle w:val="Hyperlink"/>
          </w:rPr>
          <w:t xml:space="preserve">[33]</w:t>
        </w:r>
      </w:hyperlink>
      <w:r>
        <w:t xml:space="preserve"> </w:t>
      </w:r>
      <w:r>
        <w:t xml:space="preserve">SOMIC modular system</w:t>
      </w:r>
    </w:p>
    <w:p>
      <w:pPr>
        <w:pStyle w:val="BodyText"/>
      </w:pPr>
      <w:hyperlink r:id="rId21">
        <w:r>
          <w:rPr>
            <w:rStyle w:val="Hyperlink"/>
          </w:rPr>
          <w:t xml:space="preserve">https://www.somic-packaging.com/en/solutions/somic-platform.html</w:t>
        </w:r>
      </w:hyperlink>
    </w:p>
    <w:p>
      <w:pPr>
        <w:pStyle w:val="BodyText"/>
      </w:pPr>
      <w:hyperlink r:id="rId22">
        <w:r>
          <w:rPr>
            <w:rStyle w:val="Hyperlink"/>
          </w:rPr>
          <w:t xml:space="preserve">[2]</w:t>
        </w:r>
      </w:hyperlink>
      <w:r>
        <w:t xml:space="preserve"> </w:t>
      </w:r>
      <w:hyperlink r:id="rId22">
        <w:r>
          <w:rPr>
            <w:rStyle w:val="Hyperlink"/>
          </w:rPr>
          <w:t xml:space="preserve">[9]</w:t>
        </w:r>
      </w:hyperlink>
      <w:r>
        <w:t xml:space="preserve"> </w:t>
      </w:r>
      <w:hyperlink r:id="rId22">
        <w:r>
          <w:rPr>
            <w:rStyle w:val="Hyperlink"/>
          </w:rPr>
          <w:t xml:space="preserve">[23]</w:t>
        </w:r>
      </w:hyperlink>
      <w:r>
        <w:t xml:space="preserve"> </w:t>
      </w:r>
      <w:hyperlink r:id="rId22">
        <w:r>
          <w:rPr>
            <w:rStyle w:val="Hyperlink"/>
          </w:rPr>
          <w:t xml:space="preserve">[31]</w:t>
        </w:r>
      </w:hyperlink>
      <w:r>
        <w:t xml:space="preserve"> </w:t>
      </w:r>
      <w:hyperlink r:id="rId22">
        <w:r>
          <w:rPr>
            <w:rStyle w:val="Hyperlink"/>
          </w:rPr>
          <w:t xml:space="preserve">[32]</w:t>
        </w:r>
      </w:hyperlink>
      <w:r>
        <w:t xml:space="preserve"> </w:t>
      </w:r>
      <w:hyperlink r:id="rId22">
        <w:r>
          <w:rPr>
            <w:rStyle w:val="Hyperlink"/>
          </w:rPr>
          <w:t xml:space="preserve">[38]</w:t>
        </w:r>
      </w:hyperlink>
      <w:r>
        <w:t xml:space="preserve"> </w:t>
      </w:r>
      <w:r>
        <w:t xml:space="preserve">Format change and operation</w:t>
      </w:r>
    </w:p>
    <w:p>
      <w:pPr>
        <w:pStyle w:val="BodyText"/>
      </w:pPr>
      <w:hyperlink r:id="rId22">
        <w:r>
          <w:rPr>
            <w:rStyle w:val="Hyperlink"/>
          </w:rPr>
          <w:t xml:space="preserve">https://www.somic-packaging.com/en/solutions/format-change-and-operation.html</w:t>
        </w:r>
      </w:hyperlink>
    </w:p>
    <w:p>
      <w:pPr>
        <w:pStyle w:val="BodyText"/>
      </w:pPr>
      <w:hyperlink r:id="rId23">
        <w:r>
          <w:rPr>
            <w:rStyle w:val="Hyperlink"/>
          </w:rPr>
          <w:t xml:space="preserve">[3]</w:t>
        </w:r>
      </w:hyperlink>
      <w:r>
        <w:t xml:space="preserve"> </w:t>
      </w:r>
      <w:hyperlink r:id="rId23">
        <w:r>
          <w:rPr>
            <w:rStyle w:val="Hyperlink"/>
          </w:rPr>
          <w:t xml:space="preserve">[12]</w:t>
        </w:r>
      </w:hyperlink>
      <w:r>
        <w:t xml:space="preserve"> </w:t>
      </w:r>
      <w:r>
        <w:t xml:space="preserve">Intelligent planning is the key to success - SOMIC</w:t>
      </w:r>
    </w:p>
    <w:p>
      <w:pPr>
        <w:pStyle w:val="BodyText"/>
      </w:pPr>
      <w:hyperlink r:id="rId23">
        <w:r>
          <w:rPr>
            <w:rStyle w:val="Hyperlink"/>
          </w:rPr>
          <w:t xml:space="preserve">https://www.somic-packaging.com/en/company/added-value/intelligent-planning.html</w:t>
        </w:r>
      </w:hyperlink>
    </w:p>
    <w:p>
      <w:pPr>
        <w:pStyle w:val="BodyText"/>
      </w:pPr>
      <w:hyperlink r:id="rId24">
        <w:r>
          <w:rPr>
            <w:rStyle w:val="Hyperlink"/>
          </w:rPr>
          <w:t xml:space="preserve">[4]</w:t>
        </w:r>
      </w:hyperlink>
      <w:r>
        <w:t xml:space="preserve"> </w:t>
      </w:r>
      <w:hyperlink r:id="rId24">
        <w:r>
          <w:rPr>
            <w:rStyle w:val="Hyperlink"/>
          </w:rPr>
          <w:t xml:space="preserve">[7]</w:t>
        </w:r>
      </w:hyperlink>
      <w:r>
        <w:t xml:space="preserve"> </w:t>
      </w:r>
      <w:hyperlink r:id="rId24">
        <w:r>
          <w:rPr>
            <w:rStyle w:val="Hyperlink"/>
          </w:rPr>
          <w:t xml:space="preserve">[29]</w:t>
        </w:r>
      </w:hyperlink>
      <w:r>
        <w:t xml:space="preserve"> </w:t>
      </w:r>
      <w:hyperlink r:id="rId24">
        <w:r>
          <w:rPr>
            <w:rStyle w:val="Hyperlink"/>
          </w:rPr>
          <w:t xml:space="preserve">[34]</w:t>
        </w:r>
      </w:hyperlink>
      <w:r>
        <w:t xml:space="preserve"> </w:t>
      </w:r>
      <w:hyperlink r:id="rId24">
        <w:r>
          <w:rPr>
            <w:rStyle w:val="Hyperlink"/>
          </w:rPr>
          <w:t xml:space="preserve">[37]</w:t>
        </w:r>
      </w:hyperlink>
      <w:r>
        <w:t xml:space="preserve"> </w:t>
      </w:r>
      <w:r>
        <w:t xml:space="preserve">Professionals wanted | Careers at SOMIC</w:t>
      </w:r>
    </w:p>
    <w:p>
      <w:pPr>
        <w:pStyle w:val="BodyText"/>
      </w:pPr>
      <w:hyperlink r:id="rId24">
        <w:r>
          <w:rPr>
            <w:rStyle w:val="Hyperlink"/>
          </w:rPr>
          <w:t xml:space="preserve">https://career.somic-packaging.com/en/career-entry/professionals.html</w:t>
        </w:r>
      </w:hyperlink>
    </w:p>
    <w:p>
      <w:pPr>
        <w:pStyle w:val="BodyText"/>
      </w:pPr>
      <w:hyperlink r:id="rId25">
        <w:r>
          <w:rPr>
            <w:rStyle w:val="Hyperlink"/>
          </w:rPr>
          <w:t xml:space="preserve">[5]</w:t>
        </w:r>
      </w:hyperlink>
      <w:r>
        <w:t xml:space="preserve"> </w:t>
      </w:r>
      <w:hyperlink r:id="rId25">
        <w:r>
          <w:rPr>
            <w:rStyle w:val="Hyperlink"/>
          </w:rPr>
          <w:t xml:space="preserve">[19]</w:t>
        </w:r>
      </w:hyperlink>
      <w:r>
        <w:t xml:space="preserve"> </w:t>
      </w:r>
      <w:r>
        <w:t xml:space="preserve">Case study with video - Innviertler Teigwaren (Dry Products)</w:t>
      </w:r>
    </w:p>
    <w:p>
      <w:pPr>
        <w:pStyle w:val="BodyText"/>
      </w:pPr>
      <w:hyperlink r:id="rId25">
        <w:r>
          <w:rPr>
            <w:rStyle w:val="Hyperlink"/>
          </w:rPr>
          <w:t xml:space="preserve">https://www.somic-packaging.com/en/sectors/references/case-studies/details/case-study-innviertler-teigwaren.html</w:t>
        </w:r>
      </w:hyperlink>
    </w:p>
    <w:p>
      <w:pPr>
        <w:pStyle w:val="BodyText"/>
      </w:pPr>
      <w:hyperlink r:id="rId27">
        <w:r>
          <w:rPr>
            <w:rStyle w:val="Hyperlink"/>
          </w:rPr>
          <w:t xml:space="preserve">[6]</w:t>
        </w:r>
      </w:hyperlink>
      <w:r>
        <w:t xml:space="preserve"> </w:t>
      </w:r>
      <w:hyperlink r:id="rId27">
        <w:r>
          <w:rPr>
            <w:rStyle w:val="Hyperlink"/>
          </w:rPr>
          <w:t xml:space="preserve">[8]</w:t>
        </w:r>
      </w:hyperlink>
      <w:r>
        <w:t xml:space="preserve"> </w:t>
      </w:r>
      <w:r>
        <w:t xml:space="preserve">End-of-line packaging machine SOMIC 434</w:t>
      </w:r>
    </w:p>
    <w:p>
      <w:pPr>
        <w:pStyle w:val="BodyText"/>
      </w:pPr>
      <w:hyperlink r:id="rId27">
        <w:r>
          <w:rPr>
            <w:rStyle w:val="Hyperlink"/>
          </w:rPr>
          <w:t xml:space="preserve">https://www.somic-packaging.com/en/solutions/end-of-line-packaging-machine-somic-434.html</w:t>
        </w:r>
      </w:hyperlink>
    </w:p>
    <w:p>
      <w:pPr>
        <w:pStyle w:val="BodyText"/>
      </w:pPr>
      <w:hyperlink r:id="rId28">
        <w:r>
          <w:rPr>
            <w:rStyle w:val="Hyperlink"/>
          </w:rPr>
          <w:t xml:space="preserve">[10]</w:t>
        </w:r>
      </w:hyperlink>
      <w:r>
        <w:t xml:space="preserve"> </w:t>
      </w:r>
      <w:hyperlink r:id="rId28">
        <w:r>
          <w:rPr>
            <w:rStyle w:val="Hyperlink"/>
          </w:rPr>
          <w:t xml:space="preserve">[16]</w:t>
        </w:r>
      </w:hyperlink>
      <w:r>
        <w:t xml:space="preserve"> </w:t>
      </w:r>
      <w:hyperlink r:id="rId28">
        <w:r>
          <w:rPr>
            <w:rStyle w:val="Hyperlink"/>
          </w:rPr>
          <w:t xml:space="preserve">[27]</w:t>
        </w:r>
      </w:hyperlink>
      <w:r>
        <w:t xml:space="preserve"> </w:t>
      </w:r>
      <w:hyperlink r:id="rId28">
        <w:r>
          <w:rPr>
            <w:rStyle w:val="Hyperlink"/>
          </w:rPr>
          <w:t xml:space="preserve">[35]</w:t>
        </w:r>
      </w:hyperlink>
      <w:r>
        <w:t xml:space="preserve"> </w:t>
      </w:r>
      <w:r>
        <w:t xml:space="preserve">Triad Human - Environment - Technology</w:t>
      </w:r>
    </w:p>
    <w:p>
      <w:pPr>
        <w:pStyle w:val="BodyText"/>
      </w:pPr>
      <w:hyperlink r:id="rId28">
        <w:r>
          <w:rPr>
            <w:rStyle w:val="Hyperlink"/>
          </w:rPr>
          <w:t xml:space="preserve">https://www.somic-packaging.com/en/company/news/detail/triad-human-environment-technology.html</w:t>
        </w:r>
      </w:hyperlink>
    </w:p>
    <w:p>
      <w:pPr>
        <w:pStyle w:val="BodyText"/>
      </w:pPr>
      <w:hyperlink r:id="rId29">
        <w:r>
          <w:rPr>
            <w:rStyle w:val="Hyperlink"/>
          </w:rPr>
          <w:t xml:space="preserve">[11]</w:t>
        </w:r>
      </w:hyperlink>
      <w:r>
        <w:t xml:space="preserve"> </w:t>
      </w:r>
      <w:r>
        <w:t xml:space="preserve">Collect and group products with SOMIC CORAS</w:t>
      </w:r>
    </w:p>
    <w:p>
      <w:pPr>
        <w:pStyle w:val="BodyText"/>
      </w:pPr>
      <w:hyperlink r:id="rId29">
        <w:r>
          <w:rPr>
            <w:rStyle w:val="Hyperlink"/>
          </w:rPr>
          <w:t xml:space="preserve">https://www.somic-packaging.com/en/solutions/collating-and-grouping-systems/coras.html</w:t>
        </w:r>
      </w:hyperlink>
    </w:p>
    <w:p>
      <w:pPr>
        <w:pStyle w:val="BodyText"/>
      </w:pPr>
      <w:hyperlink r:id="rId30">
        <w:r>
          <w:rPr>
            <w:rStyle w:val="Hyperlink"/>
          </w:rPr>
          <w:t xml:space="preserve">[13]</w:t>
        </w:r>
      </w:hyperlink>
      <w:r>
        <w:t xml:space="preserve"> </w:t>
      </w:r>
      <w:hyperlink r:id="rId30">
        <w:r>
          <w:rPr>
            <w:rStyle w:val="Hyperlink"/>
          </w:rPr>
          <w:t xml:space="preserve">[14]</w:t>
        </w:r>
      </w:hyperlink>
      <w:r>
        <w:t xml:space="preserve"> </w:t>
      </w:r>
      <w:hyperlink r:id="rId30">
        <w:r>
          <w:rPr>
            <w:rStyle w:val="Hyperlink"/>
          </w:rPr>
          <w:t xml:space="preserve">[26]</w:t>
        </w:r>
      </w:hyperlink>
      <w:r>
        <w:t xml:space="preserve"> </w:t>
      </w:r>
      <w:r>
        <w:t xml:space="preserve">SOMIC Service – Maintenance, Spare Parts &amp; Training</w:t>
      </w:r>
    </w:p>
    <w:p>
      <w:pPr>
        <w:pStyle w:val="BodyText"/>
      </w:pPr>
      <w:hyperlink r:id="rId30">
        <w:r>
          <w:rPr>
            <w:rStyle w:val="Hyperlink"/>
          </w:rPr>
          <w:t xml:space="preserve">https://www.somic-packaging.com/en/service.html?utm_source=chatgpt.com</w:t>
        </w:r>
      </w:hyperlink>
    </w:p>
    <w:p>
      <w:pPr>
        <w:pStyle w:val="BodyText"/>
      </w:pPr>
      <w:hyperlink r:id="rId36">
        <w:r>
          <w:rPr>
            <w:rStyle w:val="Hyperlink"/>
          </w:rPr>
          <w:t xml:space="preserve">[20]</w:t>
        </w:r>
      </w:hyperlink>
      <w:r>
        <w:t xml:space="preserve"> </w:t>
      </w:r>
      <w:hyperlink r:id="rId36">
        <w:r>
          <w:rPr>
            <w:rStyle w:val="Hyperlink"/>
          </w:rPr>
          <w:t xml:space="preserve">[25]</w:t>
        </w:r>
      </w:hyperlink>
      <w:r>
        <w:t xml:space="preserve"> </w:t>
      </w:r>
      <w:r>
        <w:t xml:space="preserve">Sustainability at SOMIC Packaging</w:t>
      </w:r>
    </w:p>
    <w:p>
      <w:pPr>
        <w:pStyle w:val="BodyText"/>
      </w:pPr>
      <w:hyperlink r:id="rId36">
        <w:r>
          <w:rPr>
            <w:rStyle w:val="Hyperlink"/>
          </w:rPr>
          <w:t xml:space="preserve">https://www.somic-packaging.com/en/company/sustainability.html</w:t>
        </w:r>
      </w:hyperlink>
    </w:p>
    <w:p>
      <w:pPr>
        <w:pStyle w:val="BodyText"/>
      </w:pPr>
      <w:hyperlink r:id="rId41">
        <w:r>
          <w:rPr>
            <w:rStyle w:val="Hyperlink"/>
          </w:rPr>
          <w:t xml:space="preserve">[24]</w:t>
        </w:r>
      </w:hyperlink>
      <w:r>
        <w:t xml:space="preserve"> </w:t>
      </w:r>
      <w:hyperlink r:id="rId41">
        <w:r>
          <w:rPr>
            <w:rStyle w:val="Hyperlink"/>
          </w:rPr>
          <w:t xml:space="preserve">[30]</w:t>
        </w:r>
      </w:hyperlink>
      <w:r>
        <w:t xml:space="preserve"> </w:t>
      </w:r>
      <w:r>
        <w:t xml:space="preserve">Case Study - Deldiche (Gourmet food &amp; Convenience)</w:t>
      </w:r>
    </w:p>
    <w:p>
      <w:pPr>
        <w:pStyle w:val="BodyText"/>
      </w:pPr>
      <w:hyperlink r:id="rId41">
        <w:r>
          <w:rPr>
            <w:rStyle w:val="Hyperlink"/>
          </w:rPr>
          <w:t xml:space="preserve">https://www.somic-packaging.com/en/sectors/references/case-studies/details/case-study-deldiche.html</w:t>
        </w:r>
      </w:hyperlink>
    </w:p>
    <w:p>
      <w:pPr>
        <w:pStyle w:val="BodyText"/>
      </w:pPr>
      <w:hyperlink r:id="rId45">
        <w:r>
          <w:rPr>
            <w:rStyle w:val="Hyperlink"/>
          </w:rPr>
          <w:t xml:space="preserve">[28]</w:t>
        </w:r>
      </w:hyperlink>
      <w:r>
        <w:t xml:space="preserve"> </w:t>
      </w:r>
      <w:r>
        <w:t xml:space="preserve">Spare parts service</w:t>
      </w:r>
    </w:p>
    <w:p>
      <w:pPr>
        <w:pStyle w:val="BodyText"/>
      </w:pPr>
      <w:hyperlink r:id="rId45">
        <w:r>
          <w:rPr>
            <w:rStyle w:val="Hyperlink"/>
          </w:rPr>
          <w:t xml:space="preserve">https://www.somic-packaging.com/en/service/spare-parts-service.html</w:t>
        </w:r>
      </w:hyperlink>
    </w:p>
    <w:p>
      <w:pPr>
        <w:pStyle w:val="BodyText"/>
      </w:pPr>
      <w:hyperlink r:id="rId55">
        <w:r>
          <w:rPr>
            <w:rStyle w:val="Hyperlink"/>
          </w:rPr>
          <w:t xml:space="preserve">[36]</w:t>
        </w:r>
      </w:hyperlink>
      <w:r>
        <w:t xml:space="preserve"> </w:t>
      </w:r>
      <w:r>
        <w:t xml:space="preserve">Commissioning ∙ Virtual FAT - machine handover</w:t>
      </w:r>
    </w:p>
    <w:p>
      <w:pPr>
        <w:pStyle w:val="BodyText"/>
      </w:pPr>
      <w:hyperlink r:id="rId55">
        <w:r>
          <w:rPr>
            <w:rStyle w:val="Hyperlink"/>
          </w:rPr>
          <w:t xml:space="preserve">https://www.somic-packaging.com/en/service/commissioning-and-service/virtual-fat.html?utm_source=chatgpt.com</w:t>
        </w:r>
      </w:hyperlink>
    </w:p>
    <w:bookmarkEnd w:id="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career.somic-packaging.com/en/career-entry/professionals.html" TargetMode="External" /><Relationship Type="http://schemas.openxmlformats.org/officeDocument/2006/relationships/hyperlink" Id="rId23" Target="https://www.somic-packaging.com/en/company/added-value/intelligent-planning.html" TargetMode="External" /><Relationship Type="http://schemas.openxmlformats.org/officeDocument/2006/relationships/hyperlink" Id="rId28" Target="https://www.somic-packaging.com/en/company/news/detail/triad-human-environment-technology.html" TargetMode="External" /><Relationship Type="http://schemas.openxmlformats.org/officeDocument/2006/relationships/hyperlink" Id="rId36" Target="https://www.somic-packaging.com/en/company/sustainability.html" TargetMode="External" /><Relationship Type="http://schemas.openxmlformats.org/officeDocument/2006/relationships/hyperlink" Id="rId41" Target="https://www.somic-packaging.com/en/sectors/references/case-studies/details/case-study-deldiche.html" TargetMode="External" /><Relationship Type="http://schemas.openxmlformats.org/officeDocument/2006/relationships/hyperlink" Id="rId25" Target="https://www.somic-packaging.com/en/sectors/references/case-studies/details/case-study-innviertler-teigwaren.html" TargetMode="External" /><Relationship Type="http://schemas.openxmlformats.org/officeDocument/2006/relationships/hyperlink" Id="rId30" Target="https://www.somic-packaging.com/en/service.html?utm_source=chatgpt.com" TargetMode="External" /><Relationship Type="http://schemas.openxmlformats.org/officeDocument/2006/relationships/hyperlink" Id="rId55" Target="https://www.somic-packaging.com/en/service/commissioning-and-service/virtual-fat.html?utm_source=chatgpt.com" TargetMode="External" /><Relationship Type="http://schemas.openxmlformats.org/officeDocument/2006/relationships/hyperlink" Id="rId45" Target="https://www.somic-packaging.com/en/service/spare-parts-service.html" TargetMode="External" /><Relationship Type="http://schemas.openxmlformats.org/officeDocument/2006/relationships/hyperlink" Id="rId29" Target="https://www.somic-packaging.com/en/solutions/collating-and-grouping-systems/coras.html" TargetMode="External" /><Relationship Type="http://schemas.openxmlformats.org/officeDocument/2006/relationships/hyperlink" Id="rId27" Target="https://www.somic-packaging.com/en/solutions/end-of-line-packaging-machine-somic-434.html" TargetMode="External" /><Relationship Type="http://schemas.openxmlformats.org/officeDocument/2006/relationships/hyperlink" Id="rId22" Target="https://www.somic-packaging.com/en/solutions/format-change-and-operation.html" TargetMode="External" /><Relationship Type="http://schemas.openxmlformats.org/officeDocument/2006/relationships/hyperlink" Id="rId21" Target="https://www.somic-packaging.com/en/solutions/somic-platform.html" TargetMode="External" /></Relationships>
</file>

<file path=word/_rels/footnotes.xml.rels><?xml version="1.0" encoding="UTF-8"?><Relationships xmlns="http://schemas.openxmlformats.org/package/2006/relationships"><Relationship Type="http://schemas.openxmlformats.org/officeDocument/2006/relationships/hyperlink" Id="rId24" Target="https://career.somic-packaging.com/en/career-entry/professionals.html" TargetMode="External" /><Relationship Type="http://schemas.openxmlformats.org/officeDocument/2006/relationships/hyperlink" Id="rId23" Target="https://www.somic-packaging.com/en/company/added-value/intelligent-planning.html" TargetMode="External" /><Relationship Type="http://schemas.openxmlformats.org/officeDocument/2006/relationships/hyperlink" Id="rId28" Target="https://www.somic-packaging.com/en/company/news/detail/triad-human-environment-technology.html" TargetMode="External" /><Relationship Type="http://schemas.openxmlformats.org/officeDocument/2006/relationships/hyperlink" Id="rId36" Target="https://www.somic-packaging.com/en/company/sustainability.html" TargetMode="External" /><Relationship Type="http://schemas.openxmlformats.org/officeDocument/2006/relationships/hyperlink" Id="rId41" Target="https://www.somic-packaging.com/en/sectors/references/case-studies/details/case-study-deldiche.html" TargetMode="External" /><Relationship Type="http://schemas.openxmlformats.org/officeDocument/2006/relationships/hyperlink" Id="rId25" Target="https://www.somic-packaging.com/en/sectors/references/case-studies/details/case-study-innviertler-teigwaren.html" TargetMode="External" /><Relationship Type="http://schemas.openxmlformats.org/officeDocument/2006/relationships/hyperlink" Id="rId30" Target="https://www.somic-packaging.com/en/service.html?utm_source=chatgpt.com" TargetMode="External" /><Relationship Type="http://schemas.openxmlformats.org/officeDocument/2006/relationships/hyperlink" Id="rId55" Target="https://www.somic-packaging.com/en/service/commissioning-and-service/virtual-fat.html?utm_source=chatgpt.com" TargetMode="External" /><Relationship Type="http://schemas.openxmlformats.org/officeDocument/2006/relationships/hyperlink" Id="rId45" Target="https://www.somic-packaging.com/en/service/spare-parts-service.html" TargetMode="External" /><Relationship Type="http://schemas.openxmlformats.org/officeDocument/2006/relationships/hyperlink" Id="rId29" Target="https://www.somic-packaging.com/en/solutions/collating-and-grouping-systems/coras.html" TargetMode="External" /><Relationship Type="http://schemas.openxmlformats.org/officeDocument/2006/relationships/hyperlink" Id="rId27" Target="https://www.somic-packaging.com/en/solutions/end-of-line-packaging-machine-somic-434.html" TargetMode="External" /><Relationship Type="http://schemas.openxmlformats.org/officeDocument/2006/relationships/hyperlink" Id="rId22" Target="https://www.somic-packaging.com/en/solutions/format-change-and-operation.html" TargetMode="External" /><Relationship Type="http://schemas.openxmlformats.org/officeDocument/2006/relationships/hyperlink" Id="rId21" Target="https://www.somic-packaging.com/en/solutions/somic-platfor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2026-04-11T14:23:36Z</dcterms:created>
  <dcterms:modified xsi:type="dcterms:W3CDTF">2026-04-11T14:23:36Z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