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48" w:name="content"/>
    <w:bookmarkStart w:id="47" w:name="X5fea6b22f4039b4c4b2c2fc93d424ee905a7fe6"/>
    <w:p>
      <w:pPr>
        <w:pStyle w:val="Heading1"/>
      </w:pPr>
      <w:r>
        <w:t xml:space="preserve">Reverse‑engineering SOMIC’s product architecture into realistic CAD parts for RapidDraft review</w:t>
      </w:r>
    </w:p>
    <w:bookmarkStart w:id="26" w:name="executive-summary"/>
    <w:p>
      <w:pPr>
        <w:pStyle w:val="Heading2"/>
      </w:pPr>
      <w:r>
        <w:t xml:space="preserve">Executive summary</w:t>
      </w:r>
    </w:p>
    <w:p>
      <w:pPr>
        <w:pStyle w:val="FirstParagraph"/>
      </w:pPr>
      <w:r>
        <w:t xml:space="preserve">SOMIC’s public product descriptions consistently emphasize a modular, format‑driven approach to end‑of‑line cartoning: machines are configured for customer format ranges, then expanded later with additional formats, while functional units remain modular and “decentralised” yet connected to a control unit.</w:t>
      </w:r>
      <w:r>
        <w:t xml:space="preserve"> </w:t>
      </w:r>
      <w:hyperlink r:id="rId21">
        <w:r>
          <w:rPr>
            <w:rStyle w:val="Hyperlink"/>
          </w:rPr>
          <w:t xml:space="preserve">[1]</w:t>
        </w:r>
      </w:hyperlink>
      <w:r>
        <w:t xml:space="preserve"> </w:t>
      </w:r>
      <w:r>
        <w:t xml:space="preserve">This implies a large, continuously evolving set of mechanical “format parts,” adjustment mechanisms, and module interfaces—exactly the kind of environment where drawing revisions are frequent and review quality matters.</w:t>
      </w:r>
    </w:p>
    <w:p>
      <w:pPr>
        <w:pStyle w:val="BodyText"/>
      </w:pPr>
      <w:r>
        <w:t xml:space="preserve">Three SOMIC‑specific differentiators strongly shape what “realistic CAD parts” should look like for a credible demo dataset: (a) QuickChange format changeover with step‑by‑step guidance and the claim of “no additional format tweaking,” plus operator guidance via a wide‑screen touch panel;</w:t>
      </w:r>
      <w:r>
        <w:t xml:space="preserve"> </w:t>
      </w:r>
      <w:hyperlink r:id="rId22">
        <w:r>
          <w:rPr>
            <w:rStyle w:val="Hyperlink"/>
          </w:rPr>
          <w:t xml:space="preserve">[2]</w:t>
        </w:r>
      </w:hyperlink>
      <w:r>
        <w:t xml:space="preserve"> </w:t>
      </w:r>
      <w:r>
        <w:t xml:space="preserve">(b) CORAS planar‑technology product handling with individually matched product containers on carriers and format/group/product changes handled via an operating terminal and control system;</w:t>
      </w:r>
      <w:r>
        <w:t xml:space="preserve"> </w:t>
      </w:r>
      <w:hyperlink r:id="rId23">
        <w:r>
          <w:rPr>
            <w:rStyle w:val="Hyperlink"/>
          </w:rPr>
          <w:t xml:space="preserve">[3]</w:t>
        </w:r>
      </w:hyperlink>
      <w:r>
        <w:t xml:space="preserve"> </w:t>
      </w:r>
      <w:r>
        <w:t xml:space="preserve">and (c) RealSource Simulation combining original machine controls with a 3D construction model to produce realistic simulation results and verify functional processes.</w:t>
      </w:r>
      <w:r>
        <w:t xml:space="preserve"> </w:t>
      </w:r>
      <w:hyperlink r:id="rId24">
        <w:r>
          <w:rPr>
            <w:rStyle w:val="Hyperlink"/>
          </w:rPr>
          <w:t xml:space="preserve">[4]</w:t>
        </w:r>
      </w:hyperlink>
    </w:p>
    <w:p>
      <w:pPr>
        <w:pStyle w:val="BodyText"/>
      </w:pPr>
      <w:r>
        <w:t xml:space="preserve">Because SOMIC’s machines explicitly cover core process stages like collating/grouping, folding around a folding head, and hot‑melt gluing (across multiple machine variants and modules), the most believable demo parts are not generic brackets: they are</w:t>
      </w:r>
      <w:r>
        <w:t xml:space="preserve"> </w:t>
      </w:r>
      <w:r>
        <w:rPr>
          <w:b/>
          <w:bCs/>
        </w:rPr>
        <w:t xml:space="preserve">format‑tool plates, folding head/folding die interface parts, gluing head positioning parts, carrier nests, product handling transfer elements, and conveyor subassemblies</w:t>
      </w:r>
      <w:r>
        <w:t xml:space="preserve"> </w:t>
      </w:r>
      <w:r>
        <w:t xml:space="preserve">that naturally accumulate revisions.</w:t>
      </w:r>
      <w:r>
        <w:t xml:space="preserve"> </w:t>
      </w:r>
      <w:hyperlink r:id="rId25">
        <w:r>
          <w:rPr>
            <w:rStyle w:val="Hyperlink"/>
          </w:rPr>
          <w:t xml:space="preserve">[5]</w:t>
        </w:r>
      </w:hyperlink>
    </w:p>
    <w:bookmarkEnd w:id="26"/>
    <w:bookmarkStart w:id="38" w:name="X669273f6022e07b0195e3520ccd414383de623c"/>
    <w:p>
      <w:pPr>
        <w:pStyle w:val="Heading2"/>
      </w:pPr>
      <w:r>
        <w:t xml:space="preserve">SOMIC product categories and machine types that drive mechanical CAD complexity</w:t>
      </w:r>
    </w:p>
    <w:p>
      <w:pPr>
        <w:pStyle w:val="FirstParagraph"/>
      </w:pPr>
      <w:r>
        <w:t xml:space="preserve">SOMIC’s “Solutions” structure on its own site groups their portfolio into end‑of‑line cartoning machines (notably the current SOMIC 434 family), an entry‑level cartoner (ReadyPack), collating/grouping systems (Lamella Chain and CORAS), modular packaging machines (case erector, lidding, case sealing), and product handling/transport peripherals (manipulators, line distribution/merging, storage/buffering, conveyor technologies).</w:t>
      </w:r>
      <w:r>
        <w:t xml:space="preserve"> </w:t>
      </w:r>
      <w:hyperlink r:id="rId27">
        <w:r>
          <w:rPr>
            <w:rStyle w:val="Hyperlink"/>
          </w:rPr>
          <w:t xml:space="preserve">[6]</w:t>
        </w:r>
      </w:hyperlink>
    </w:p>
    <w:p>
      <w:pPr>
        <w:pStyle w:val="BodyText"/>
      </w:pPr>
      <w:r>
        <w:t xml:space="preserve">The table below is a concise audit of the machine types that most strongly imply specific mechanical subsystems and corresponding engineering artifacts (parts, drawings, assemblies).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SOMIC product category</w:t>
            </w:r>
          </w:p>
        </w:tc>
        <w:tc>
          <w:tcPr/>
          <w:p>
            <w:pPr>
              <w:pStyle w:val="Compact"/>
            </w:pPr>
            <w:r>
              <w:t xml:space="preserve">Representative machine types / elements (as described by SOMIC)</w:t>
            </w:r>
          </w:p>
        </w:tc>
        <w:tc>
          <w:tcPr/>
          <w:p>
            <w:pPr>
              <w:pStyle w:val="Compact"/>
            </w:pPr>
            <w:r>
              <w:t xml:space="preserve">Mechanical “pressure points” implied by the description (why revisions happen)</w:t>
            </w:r>
          </w:p>
        </w:tc>
      </w:tr>
      <w:tr>
        <w:tc>
          <w:tcPr/>
          <w:p>
            <w:pPr>
              <w:pStyle w:val="Compact"/>
            </w:pPr>
            <w:r>
              <w:t xml:space="preserve">End‑of‑line cartoning platform</w:t>
            </w:r>
          </w:p>
        </w:tc>
        <w:tc>
          <w:tcPr/>
          <w:p>
            <w:pPr>
              <w:pStyle w:val="Compact"/>
            </w:pPr>
            <w:r>
              <w:t xml:space="preserve">SOMIC 434 supports one‑piece (tray, wraparound) and two‑piece cartons (tray/cover and cover/tray).</w:t>
            </w:r>
            <w:r>
              <w:t xml:space="preserve"> </w:t>
            </w:r>
            <w:hyperlink r:id="rId27">
              <w:r>
                <w:rPr>
                  <w:rStyle w:val="Hyperlink"/>
                </w:rPr>
                <w:t xml:space="preserve">[7]</w:t>
              </w:r>
            </w:hyperlink>
          </w:p>
        </w:tc>
        <w:tc>
          <w:tcPr/>
          <w:p>
            <w:pPr>
              <w:pStyle w:val="Compact"/>
            </w:pPr>
            <w:r>
              <w:t xml:space="preserve">Multi‑concept carton handling means multiple folding toolsets, blank magazine adjustments, gluing positions, and format tools; packaging concepts and grouping styles vary (upright/flat; single/multi‑row; single/multi‑layer).</w:t>
            </w:r>
            <w:r>
              <w:t xml:space="preserve"> </w:t>
            </w:r>
            <w:hyperlink r:id="rId27">
              <w:r>
                <w:rPr>
                  <w:rStyle w:val="Hyperlink"/>
                </w:rPr>
                <w:t xml:space="preserve">[8]</w:t>
              </w:r>
            </w:hyperlink>
          </w:p>
        </w:tc>
      </w:tr>
      <w:tr>
        <w:tc>
          <w:tcPr/>
          <w:p>
            <w:pPr>
              <w:pStyle w:val="Compact"/>
            </w:pPr>
            <w:r>
              <w:t xml:space="preserve">Wraparound cartoning</w:t>
            </w:r>
          </w:p>
        </w:tc>
        <w:tc>
          <w:tcPr/>
          <w:p>
            <w:pPr>
              <w:pStyle w:val="Compact"/>
            </w:pPr>
            <w:r>
              <w:t xml:space="preserve">Wraparound packer performs collecting, grouping, erecting, filling, closing; format changes are described as easy with automation + QuickChange.</w:t>
            </w:r>
            <w:r>
              <w:t xml:space="preserve"> </w:t>
            </w:r>
            <w:hyperlink r:id="rId25">
              <w:r>
                <w:rPr>
                  <w:rStyle w:val="Hyperlink"/>
                </w:rPr>
                <w:t xml:space="preserve">[9]</w:t>
              </w:r>
            </w:hyperlink>
          </w:p>
        </w:tc>
        <w:tc>
          <w:tcPr/>
          <w:p>
            <w:pPr>
              <w:pStyle w:val="Compact"/>
            </w:pPr>
            <w:r>
              <w:t xml:space="preserve">Glue application positions, folding head geometry, closing module timing, and blank feed alignment are typical revision drivers when formats change or output requirements rise.</w:t>
            </w:r>
            <w:r>
              <w:t xml:space="preserve"> </w:t>
            </w:r>
            <w:hyperlink r:id="rId25">
              <w:r>
                <w:rPr>
                  <w:rStyle w:val="Hyperlink"/>
                </w:rPr>
                <w:t xml:space="preserve">[10]</w:t>
              </w:r>
            </w:hyperlink>
          </w:p>
        </w:tc>
      </w:tr>
      <w:tr>
        <w:tc>
          <w:tcPr/>
          <w:p>
            <w:pPr>
              <w:pStyle w:val="Compact"/>
            </w:pPr>
            <w:r>
              <w:t xml:space="preserve">Tray cartoning</w:t>
            </w:r>
          </w:p>
        </w:tc>
        <w:tc>
          <w:tcPr/>
          <w:p>
            <w:pPr>
              <w:pStyle w:val="Compact"/>
            </w:pPr>
            <w:r>
              <w:t xml:space="preserve">Tray packer uses collecting/grouping then positions on flat blank; carton is folded and glued around products; machines use individually manufactured format tools.</w:t>
            </w:r>
            <w:r>
              <w:t xml:space="preserve"> </w:t>
            </w:r>
            <w:hyperlink r:id="rId28">
              <w:r>
                <w:rPr>
                  <w:rStyle w:val="Hyperlink"/>
                </w:rPr>
                <w:t xml:space="preserve">[11]</w:t>
              </w:r>
            </w:hyperlink>
          </w:p>
        </w:tc>
        <w:tc>
          <w:tcPr/>
          <w:p>
            <w:pPr>
              <w:pStyle w:val="Compact"/>
            </w:pPr>
            <w:r>
              <w:t xml:space="preserve">Tooling and guidance changes (side guides, pushing elements, folding plates) naturally generate drawing revisions; format tools are explicitly customized, so geometry is rarely “stable forever.”</w:t>
            </w:r>
            <w:r>
              <w:t xml:space="preserve"> </w:t>
            </w:r>
            <w:hyperlink r:id="rId28">
              <w:r>
                <w:rPr>
                  <w:rStyle w:val="Hyperlink"/>
                </w:rPr>
                <w:t xml:space="preserve">[11]</w:t>
              </w:r>
            </w:hyperlink>
          </w:p>
        </w:tc>
      </w:tr>
      <w:tr>
        <w:tc>
          <w:tcPr/>
          <w:p>
            <w:pPr>
              <w:pStyle w:val="Compact"/>
            </w:pPr>
            <w:r>
              <w:t xml:space="preserve">Entry‑level cartoner</w:t>
            </w:r>
          </w:p>
        </w:tc>
        <w:tc>
          <w:tcPr/>
          <w:p>
            <w:pPr>
              <w:pStyle w:val="Compact"/>
            </w:pPr>
            <w:r>
              <w:t xml:space="preserve">ReadyPack collates/groups, positions on a flat blank, folds and secures with hot glue; tray version can later be expanded to wraparound; QuickChange is used for switching formats.</w:t>
            </w:r>
            <w:r>
              <w:t xml:space="preserve"> </w:t>
            </w:r>
            <w:hyperlink r:id="rId29">
              <w:r>
                <w:rPr>
                  <w:rStyle w:val="Hyperlink"/>
                </w:rPr>
                <w:t xml:space="preserve">[12]</w:t>
              </w:r>
            </w:hyperlink>
          </w:p>
        </w:tc>
        <w:tc>
          <w:tcPr/>
          <w:p>
            <w:pPr>
              <w:pStyle w:val="Compact"/>
            </w:pPr>
            <w:r>
              <w:t xml:space="preserve">“Expandable later” implies interface compatibility and revision‑safe add‑on designs; hot glue + folding implies adjustable tooling and mounts.</w:t>
            </w:r>
            <w:r>
              <w:t xml:space="preserve"> </w:t>
            </w:r>
            <w:hyperlink r:id="rId29">
              <w:r>
                <w:rPr>
                  <w:rStyle w:val="Hyperlink"/>
                </w:rPr>
                <w:t xml:space="preserve">[12]</w:t>
              </w:r>
            </w:hyperlink>
          </w:p>
        </w:tc>
      </w:tr>
      <w:tr>
        <w:tc>
          <w:tcPr/>
          <w:p>
            <w:pPr>
              <w:pStyle w:val="Compact"/>
            </w:pPr>
            <w:r>
              <w:t xml:space="preserve">Collating and grouping</w:t>
            </w:r>
          </w:p>
        </w:tc>
        <w:tc>
          <w:tcPr/>
          <w:p>
            <w:pPr>
              <w:pStyle w:val="Compact"/>
            </w:pPr>
            <w:r>
              <w:t xml:space="preserve">Lamella Chain uses synchronized sequence between lamella picker and pusher head; tool‑less changeover between grouping tasks.</w:t>
            </w:r>
            <w:r>
              <w:t xml:space="preserve"> </w:t>
            </w:r>
            <w:hyperlink r:id="rId30">
              <w:r>
                <w:rPr>
                  <w:rStyle w:val="Hyperlink"/>
                </w:rPr>
                <w:t xml:space="preserve">[13]</w:t>
              </w:r>
            </w:hyperlink>
          </w:p>
        </w:tc>
        <w:tc>
          <w:tcPr/>
          <w:p>
            <w:pPr>
              <w:pStyle w:val="Compact"/>
            </w:pPr>
            <w:r>
              <w:t xml:space="preserve">Synchronization elements (pusher head components, cam plates, drive mounts) + fast tool‑less changeover components often get iterated for robustness and ergonomics.</w:t>
            </w:r>
            <w:r>
              <w:t xml:space="preserve"> </w:t>
            </w:r>
            <w:hyperlink r:id="rId30">
              <w:r>
                <w:rPr>
                  <w:rStyle w:val="Hyperlink"/>
                </w:rPr>
                <w:t xml:space="preserve">[13]</w:t>
              </w:r>
            </w:hyperlink>
          </w:p>
        </w:tc>
      </w:tr>
      <w:tr>
        <w:tc>
          <w:tcPr/>
          <w:p>
            <w:pPr>
              <w:pStyle w:val="Compact"/>
            </w:pPr>
            <w:r>
              <w:t xml:space="preserve">Planar‑tech grouping</w:t>
            </w:r>
          </w:p>
        </w:tc>
        <w:tc>
          <w:tcPr/>
          <w:p>
            <w:pPr>
              <w:pStyle w:val="Compact"/>
            </w:pPr>
            <w:r>
              <w:t xml:space="preserve">CORAS provides 360° product orientation and mixed formats; carriers have product containers matched to customer product; changes handled via operating terminal/control system; robust and easy to clean.</w:t>
            </w:r>
            <w:r>
              <w:t xml:space="preserve"> </w:t>
            </w:r>
            <w:hyperlink r:id="rId23">
              <w:r>
                <w:rPr>
                  <w:rStyle w:val="Hyperlink"/>
                </w:rPr>
                <w:t xml:space="preserve">[3]</w:t>
              </w:r>
            </w:hyperlink>
          </w:p>
        </w:tc>
        <w:tc>
          <w:tcPr/>
          <w:p>
            <w:pPr>
              <w:pStyle w:val="Compact"/>
            </w:pPr>
            <w:r>
              <w:t xml:space="preserve">Carrier “nests” and container geometry must change as product geometry or grouping changes; cleanability and robustness drive frequent detail refinements (radii, drain features, fasteners).</w:t>
            </w:r>
            <w:r>
              <w:t xml:space="preserve"> </w:t>
            </w:r>
            <w:hyperlink r:id="rId23">
              <w:r>
                <w:rPr>
                  <w:rStyle w:val="Hyperlink"/>
                </w:rPr>
                <w:t xml:space="preserve">[3]</w:t>
              </w:r>
            </w:hyperlink>
          </w:p>
        </w:tc>
      </w:tr>
      <w:tr>
        <w:tc>
          <w:tcPr/>
          <w:p>
            <w:pPr>
              <w:pStyle w:val="Compact"/>
            </w:pPr>
            <w:r>
              <w:t xml:space="preserve">Modular packaging machines</w:t>
            </w:r>
          </w:p>
        </w:tc>
        <w:tc>
          <w:tcPr/>
          <w:p>
            <w:pPr>
              <w:pStyle w:val="Compact"/>
            </w:pPr>
            <w:r>
              <w:t xml:space="preserve">Case erector takes carton blank from magazine, positions on vacuum conveyor, erects using folding head and die, glues with hot melt.</w:t>
            </w:r>
            <w:r>
              <w:t xml:space="preserve"> </w:t>
            </w:r>
            <w:hyperlink r:id="rId31">
              <w:r>
                <w:rPr>
                  <w:rStyle w:val="Hyperlink"/>
                </w:rPr>
                <w:t xml:space="preserve">[14]</w:t>
              </w:r>
            </w:hyperlink>
          </w:p>
        </w:tc>
        <w:tc>
          <w:tcPr/>
          <w:p>
            <w:pPr>
              <w:pStyle w:val="Compact"/>
            </w:pPr>
            <w:r>
              <w:t xml:space="preserve">Vacuum conveyor interfaces, folding dies, and hot‑melt head locations are high‑impact features; small errors propagate into line performance and carton quality.</w:t>
            </w:r>
            <w:r>
              <w:t xml:space="preserve"> </w:t>
            </w:r>
            <w:hyperlink r:id="rId31">
              <w:r>
                <w:rPr>
                  <w:rStyle w:val="Hyperlink"/>
                </w:rPr>
                <w:t xml:space="preserve">[14]</w:t>
              </w:r>
            </w:hyperlink>
          </w:p>
        </w:tc>
      </w:tr>
      <w:tr>
        <w:tc>
          <w:tcPr/>
          <w:p>
            <w:pPr>
              <w:pStyle w:val="Compact"/>
            </w:pPr>
            <w:r>
              <w:t xml:space="preserve">Modular packaging machines</w:t>
            </w:r>
          </w:p>
        </w:tc>
        <w:tc>
          <w:tcPr/>
          <w:p>
            <w:pPr>
              <w:pStyle w:val="Compact"/>
            </w:pPr>
            <w:r>
              <w:t xml:space="preserve">Lidding machine folds cover blanks, places them, glues/seals; QuickChange makes format changes toolless.</w:t>
            </w:r>
            <w:r>
              <w:t xml:space="preserve"> </w:t>
            </w:r>
            <w:hyperlink r:id="rId32">
              <w:r>
                <w:rPr>
                  <w:rStyle w:val="Hyperlink"/>
                </w:rPr>
                <w:t xml:space="preserve">[15]</w:t>
              </w:r>
            </w:hyperlink>
          </w:p>
        </w:tc>
        <w:tc>
          <w:tcPr/>
          <w:p>
            <w:pPr>
              <w:pStyle w:val="Compact"/>
            </w:pPr>
            <w:r>
              <w:t xml:space="preserve">Lid blank handling + gluing positions + format tool swaps yield dimensioned plates and alignment features that create “diff‑worthy” drawings.</w:t>
            </w:r>
            <w:r>
              <w:t xml:space="preserve"> </w:t>
            </w:r>
            <w:hyperlink r:id="rId32">
              <w:r>
                <w:rPr>
                  <w:rStyle w:val="Hyperlink"/>
                </w:rPr>
                <w:t xml:space="preserve">[15]</w:t>
              </w:r>
            </w:hyperlink>
          </w:p>
        </w:tc>
      </w:tr>
      <w:tr>
        <w:tc>
          <w:tcPr/>
          <w:p>
            <w:pPr>
              <w:pStyle w:val="Compact"/>
            </w:pPr>
            <w:r>
              <w:t xml:space="preserve">Modular packaging machines</w:t>
            </w:r>
          </w:p>
        </w:tc>
        <w:tc>
          <w:tcPr/>
          <w:p>
            <w:pPr>
              <w:pStyle w:val="Compact"/>
            </w:pPr>
            <w:r>
              <w:t xml:space="preserve">Case sealer applies glue with millimeter precision and folds lid flap, gluing with sealing head; tool‑less format tool changes.</w:t>
            </w:r>
            <w:r>
              <w:t xml:space="preserve"> </w:t>
            </w:r>
            <w:hyperlink r:id="rId33">
              <w:r>
                <w:rPr>
                  <w:rStyle w:val="Hyperlink"/>
                </w:rPr>
                <w:t xml:space="preserve">[16]</w:t>
              </w:r>
            </w:hyperlink>
          </w:p>
        </w:tc>
        <w:tc>
          <w:tcPr/>
          <w:p>
            <w:pPr>
              <w:pStyle w:val="Compact"/>
            </w:pPr>
            <w:r>
              <w:t xml:space="preserve">Glue head mounts and flap‑folding elements are sensitive to format changes; tool‑less changeover mechanisms intensify tolerance/fit requirements.</w:t>
            </w:r>
            <w:r>
              <w:t xml:space="preserve"> </w:t>
            </w:r>
            <w:hyperlink r:id="rId33">
              <w:r>
                <w:rPr>
                  <w:rStyle w:val="Hyperlink"/>
                </w:rPr>
                <w:t xml:space="preserve">[16]</w:t>
              </w:r>
            </w:hyperlink>
          </w:p>
        </w:tc>
      </w:tr>
      <w:tr>
        <w:tc>
          <w:tcPr/>
          <w:p>
            <w:pPr>
              <w:pStyle w:val="Compact"/>
            </w:pPr>
            <w:r>
              <w:t xml:space="preserve">Product handling and transportation</w:t>
            </w:r>
          </w:p>
        </w:tc>
        <w:tc>
          <w:tcPr/>
          <w:p>
            <w:pPr>
              <w:pStyle w:val="Compact"/>
            </w:pPr>
            <w:r>
              <w:t xml:space="preserve">Portfolio includes line merging, turning/flipping/conditioning, plus servo technology; spans from belts to complex systems.</w:t>
            </w:r>
            <w:r>
              <w:t xml:space="preserve"> </w:t>
            </w:r>
            <w:hyperlink r:id="rId34">
              <w:r>
                <w:rPr>
                  <w:rStyle w:val="Hyperlink"/>
                </w:rPr>
                <w:t xml:space="preserve">[17]</w:t>
              </w:r>
            </w:hyperlink>
          </w:p>
        </w:tc>
        <w:tc>
          <w:tcPr/>
          <w:p>
            <w:pPr>
              <w:pStyle w:val="Compact"/>
            </w:pPr>
            <w:r>
              <w:t xml:space="preserve">Peripheral systems create many interface parts (mounting frames, guides, conveyor modules) that must remain compatible with cartoner modules and format parts.</w:t>
            </w:r>
            <w:r>
              <w:t xml:space="preserve"> </w:t>
            </w:r>
            <w:hyperlink r:id="rId34">
              <w:r>
                <w:rPr>
                  <w:rStyle w:val="Hyperlink"/>
                </w:rPr>
                <w:t xml:space="preserve">[17]</w:t>
              </w:r>
            </w:hyperlink>
          </w:p>
        </w:tc>
      </w:tr>
      <w:tr>
        <w:tc>
          <w:tcPr/>
          <w:p>
            <w:pPr>
              <w:pStyle w:val="Compact"/>
            </w:pPr>
            <w:r>
              <w:t xml:space="preserve">Product manipulator</w:t>
            </w:r>
          </w:p>
        </w:tc>
        <w:tc>
          <w:tcPr/>
          <w:p>
            <w:pPr>
              <w:pStyle w:val="Compact"/>
            </w:pPr>
            <w:r>
              <w:t xml:space="preserve">4‑axis manipulator with 3 servo linear axes + 1 servo rotary axis; sequences include 90/180° rotation, discharge star, toothed belt conveyor, downstream position checks, chute discharge.</w:t>
            </w:r>
            <w:r>
              <w:t xml:space="preserve"> </w:t>
            </w:r>
            <w:hyperlink r:id="rId35">
              <w:r>
                <w:rPr>
                  <w:rStyle w:val="Hyperlink"/>
                </w:rPr>
                <w:t xml:space="preserve">[18]</w:t>
              </w:r>
            </w:hyperlink>
          </w:p>
        </w:tc>
        <w:tc>
          <w:tcPr/>
          <w:p>
            <w:pPr>
              <w:pStyle w:val="Compact"/>
            </w:pPr>
            <w:r>
              <w:t xml:space="preserve">Transfer elements (stars, chutes, distributor fingers) are frequently tuned based on jams, spacing, and product variability—perfect candidates for revision‑diff demos.</w:t>
            </w:r>
            <w:r>
              <w:t xml:space="preserve"> </w:t>
            </w:r>
            <w:hyperlink r:id="rId35">
              <w:r>
                <w:rPr>
                  <w:rStyle w:val="Hyperlink"/>
                </w:rPr>
                <w:t xml:space="preserve">[18]</w:t>
              </w:r>
            </w:hyperlink>
          </w:p>
        </w:tc>
      </w:tr>
      <w:tr>
        <w:tc>
          <w:tcPr/>
          <w:p>
            <w:pPr>
              <w:pStyle w:val="Compact"/>
            </w:pPr>
            <w:r>
              <w:t xml:space="preserve">Buffering/storage</w:t>
            </w:r>
          </w:p>
        </w:tc>
        <w:tc>
          <w:tcPr/>
          <w:p>
            <w:pPr>
              <w:pStyle w:val="Compact"/>
            </w:pPr>
            <w:r>
              <w:t xml:space="preserve">KSP 100 storage uses a revolving cartridge with up to 100 m buffer section; product gondola replacement without tools; integrated controls; machine dimensions and capacity are specified.</w:t>
            </w:r>
            <w:r>
              <w:t xml:space="preserve"> </w:t>
            </w:r>
            <w:hyperlink r:id="rId36">
              <w:r>
                <w:rPr>
                  <w:rStyle w:val="Hyperlink"/>
                </w:rPr>
                <w:t xml:space="preserve">[19]</w:t>
              </w:r>
            </w:hyperlink>
          </w:p>
        </w:tc>
        <w:tc>
          <w:tcPr/>
          <w:p>
            <w:pPr>
              <w:pStyle w:val="Compact"/>
            </w:pPr>
            <w:r>
              <w:t xml:space="preserve">Tool‑less gondola exchange parts and compact cartridge structures are loaded with fit/clearance constraints and often revised for reliability and maintainability.</w:t>
            </w:r>
            <w:r>
              <w:t xml:space="preserve"> </w:t>
            </w:r>
            <w:hyperlink r:id="rId36">
              <w:r>
                <w:rPr>
                  <w:rStyle w:val="Hyperlink"/>
                </w:rPr>
                <w:t xml:space="preserve">[19]</w:t>
              </w:r>
            </w:hyperlink>
          </w:p>
        </w:tc>
      </w:tr>
      <w:tr>
        <w:tc>
          <w:tcPr/>
          <w:p>
            <w:pPr>
              <w:pStyle w:val="Compact"/>
            </w:pPr>
            <w:r>
              <w:t xml:space="preserve">Transport technology</w:t>
            </w:r>
          </w:p>
        </w:tc>
        <w:tc>
          <w:tcPr/>
          <w:p>
            <w:pPr>
              <w:pStyle w:val="Compact"/>
            </w:pPr>
            <w:r>
              <w:t xml:space="preserve">QFeed chain conveyor (modular, aluminium/stainless, speed up to 120 m/min, bandwidth 76–456 mm); feed conveyor speed up to 150 m/min; vacuum conveyor inclines up to 55°; pouch conditioning with adjustable guides and a pneumatic foldable upper belt.</w:t>
            </w:r>
            <w:r>
              <w:t xml:space="preserve"> </w:t>
            </w:r>
            <w:hyperlink r:id="rId37">
              <w:r>
                <w:rPr>
                  <w:rStyle w:val="Hyperlink"/>
                </w:rPr>
                <w:t xml:space="preserve">[20]</w:t>
              </w:r>
            </w:hyperlink>
          </w:p>
        </w:tc>
        <w:tc>
          <w:tcPr/>
          <w:p>
            <w:pPr>
              <w:pStyle w:val="Compact"/>
            </w:pPr>
            <w:r>
              <w:t xml:space="preserve">Conveyor subassemblies combine mechanical wear, cleanliness, noise, and product handling constraints—yielding many drawing revisions that reviewers must validate (especially around adjustability and safety).</w:t>
            </w:r>
            <w:r>
              <w:t xml:space="preserve"> </w:t>
            </w:r>
            <w:hyperlink r:id="rId37">
              <w:r>
                <w:rPr>
                  <w:rStyle w:val="Hyperlink"/>
                </w:rPr>
                <w:t xml:space="preserve">[20]</w:t>
              </w:r>
            </w:hyperlink>
          </w:p>
        </w:tc>
      </w:tr>
    </w:tbl>
    <w:bookmarkEnd w:id="38"/>
    <w:bookmarkStart w:id="40" w:name="X96a9662851b392affcbad01b9bc370349eb1641"/>
    <w:p>
      <w:pPr>
        <w:pStyle w:val="Heading2"/>
      </w:pPr>
      <w:r>
        <w:t xml:space="preserve">Reverse‑engineered functional architecture and subsystems</w:t>
      </w:r>
    </w:p>
    <w:p>
      <w:pPr>
        <w:pStyle w:val="FirstParagraph"/>
      </w:pPr>
      <w:r>
        <w:t xml:space="preserve">This subsystem breakdown is an inference derived from SOMIC’s published process descriptions (not a claim about the exact internal BOM of any specific customer machine). The goal is to identify</w:t>
      </w:r>
      <w:r>
        <w:t xml:space="preserve"> </w:t>
      </w:r>
      <w:r>
        <w:rPr>
          <w:b/>
          <w:bCs/>
        </w:rPr>
        <w:t xml:space="preserve">mechanically and dimensionally plausible “CAD atoms”</w:t>
      </w:r>
      <w:r>
        <w:t xml:space="preserve"> </w:t>
      </w:r>
      <w:r>
        <w:t xml:space="preserve">that would exist in any modular, format‑tool heavy cartoning system like the one SOMIC describes.</w:t>
      </w:r>
      <w:r>
        <w:t xml:space="preserve"> </w:t>
      </w:r>
      <w:hyperlink r:id="rId21">
        <w:r>
          <w:rPr>
            <w:rStyle w:val="Hyperlink"/>
          </w:rPr>
          <w:t xml:space="preserve">[21]</w:t>
        </w:r>
      </w:hyperlink>
    </w:p>
    <w:p>
      <w:pPr>
        <w:pStyle w:val="BodyText"/>
      </w:pPr>
      <w:r>
        <w:t xml:space="preserve">SOMIC explicitly describes the SOMIC 434 concept as a linear arrangement of stations “from the carton forming module to the closing module,” with stations in a stainless steel frame, and a collecting/grouping unit integrated in a separate frame construction; it also states that most format adjustments are controlled by servomotors and that QuickChange is used to adjust folding tools, gluing positions, the blank magazine, and to change individual format parts.</w:t>
      </w:r>
      <w:r>
        <w:t xml:space="preserve"> </w:t>
      </w:r>
      <w:hyperlink r:id="rId39">
        <w:r>
          <w:rPr>
            <w:rStyle w:val="Hyperlink"/>
          </w:rPr>
          <w:t xml:space="preserve">[22]</w:t>
        </w:r>
      </w:hyperlink>
      <w:r>
        <w:t xml:space="preserve"> </w:t>
      </w:r>
      <w:r>
        <w:t xml:space="preserve">This single paragraph essentially reveals the minimum viable architecture:</w:t>
      </w:r>
      <w:r>
        <w:t xml:space="preserve"> </w:t>
      </w:r>
      <w:r>
        <w:rPr>
          <w:b/>
          <w:bCs/>
        </w:rPr>
        <w:t xml:space="preserve">frame + guarding</w:t>
      </w:r>
      <w:r>
        <w:t xml:space="preserve">,</w:t>
      </w:r>
      <w:r>
        <w:t xml:space="preserve"> </w:t>
      </w:r>
      <w:r>
        <w:rPr>
          <w:b/>
          <w:bCs/>
        </w:rPr>
        <w:t xml:space="preserve">collect/group module</w:t>
      </w:r>
      <w:r>
        <w:t xml:space="preserve">,</w:t>
      </w:r>
      <w:r>
        <w:t xml:space="preserve"> </w:t>
      </w:r>
      <w:r>
        <w:rPr>
          <w:b/>
          <w:bCs/>
        </w:rPr>
        <w:t xml:space="preserve">blank magazine + forming</w:t>
      </w:r>
      <w:r>
        <w:t xml:space="preserve">,</w:t>
      </w:r>
      <w:r>
        <w:t xml:space="preserve"> </w:t>
      </w:r>
      <w:r>
        <w:rPr>
          <w:b/>
          <w:bCs/>
        </w:rPr>
        <w:t xml:space="preserve">folding head + tooling</w:t>
      </w:r>
      <w:r>
        <w:t xml:space="preserve">,</w:t>
      </w:r>
      <w:r>
        <w:t xml:space="preserve"> </w:t>
      </w:r>
      <w:r>
        <w:rPr>
          <w:b/>
          <w:bCs/>
        </w:rPr>
        <w:t xml:space="preserve">glue systems</w:t>
      </w:r>
      <w:r>
        <w:t xml:space="preserve">,</w:t>
      </w:r>
      <w:r>
        <w:t xml:space="preserve"> </w:t>
      </w:r>
      <w:r>
        <w:rPr>
          <w:b/>
          <w:bCs/>
        </w:rPr>
        <w:t xml:space="preserve">closing module</w:t>
      </w:r>
      <w:r>
        <w:t xml:space="preserve">, plus</w:t>
      </w:r>
      <w:r>
        <w:t xml:space="preserve"> </w:t>
      </w:r>
      <w:r>
        <w:rPr>
          <w:b/>
          <w:bCs/>
        </w:rPr>
        <w:t xml:space="preserve">servo‑driven adjustment mechanisms</w:t>
      </w:r>
      <w:r>
        <w:t xml:space="preserve"> </w:t>
      </w:r>
      <w:r>
        <w:t xml:space="preserve">and</w:t>
      </w:r>
      <w:r>
        <w:t xml:space="preserve"> </w:t>
      </w:r>
      <w:r>
        <w:rPr>
          <w:b/>
          <w:bCs/>
        </w:rPr>
        <w:t xml:space="preserve">QuickChange format parts</w:t>
      </w:r>
      <w:r>
        <w:t xml:space="preserve">.</w:t>
      </w:r>
      <w:r>
        <w:t xml:space="preserve"> </w:t>
      </w:r>
      <w:hyperlink r:id="rId39">
        <w:r>
          <w:rPr>
            <w:rStyle w:val="Hyperlink"/>
          </w:rPr>
          <w:t xml:space="preserve">[22]</w:t>
        </w:r>
      </w:hyperlink>
    </w:p>
    <w:p>
      <w:pPr>
        <w:pStyle w:val="BodyText"/>
      </w:pPr>
      <w:r>
        <w:t xml:space="preserve">SOMIC’s QuickChange positioning adds a further constraint: format change is step‑by‑step guided and designed to require no additional tweaking; operator guidance is reinforced via a clearly structured wide‑screen touch panel and clear error‑correction steps when stops occur.</w:t>
      </w:r>
      <w:r>
        <w:t xml:space="preserve"> </w:t>
      </w:r>
      <w:hyperlink r:id="rId22">
        <w:r>
          <w:rPr>
            <w:rStyle w:val="Hyperlink"/>
          </w:rPr>
          <w:t xml:space="preserve">[23]</w:t>
        </w:r>
      </w:hyperlink>
      <w:r>
        <w:t xml:space="preserve"> </w:t>
      </w:r>
      <w:r>
        <w:t xml:space="preserve">From an engineering perspective, that implies</w:t>
      </w:r>
      <w:r>
        <w:t xml:space="preserve"> </w:t>
      </w:r>
      <w:r>
        <w:rPr>
          <w:b/>
          <w:bCs/>
        </w:rPr>
        <w:t xml:space="preserve">format parts must “snap into correctness”</w:t>
      </w:r>
      <w:r>
        <w:t xml:space="preserve">—meaning locating features, repeatable stops, robust slots/dowels, and carefully dimensioned interfaces.</w:t>
      </w:r>
      <w:r>
        <w:t xml:space="preserve"> </w:t>
      </w:r>
      <w:hyperlink r:id="rId22">
        <w:r>
          <w:rPr>
            <w:rStyle w:val="Hyperlink"/>
          </w:rPr>
          <w:t xml:space="preserve">[23]</w:t>
        </w:r>
      </w:hyperlink>
    </w:p>
    <w:p>
      <w:pPr>
        <w:pStyle w:val="BodyText"/>
      </w:pPr>
      <w:r>
        <w:t xml:space="preserve">Finally, CORAS and RealSource introduce two “CAD realism” anchors: CORAS carriers have product containers matched to the customer’s product and are part of a robust, cleanable transport field; RealSource Simulation explicitly combines original machine controls with a 3D construction model to produce realistic simulation results and verify functional processes.</w:t>
      </w:r>
      <w:r>
        <w:t xml:space="preserve"> </w:t>
      </w:r>
      <w:hyperlink r:id="rId23">
        <w:r>
          <w:rPr>
            <w:rStyle w:val="Hyperlink"/>
          </w:rPr>
          <w:t xml:space="preserve">[24]</w:t>
        </w:r>
      </w:hyperlink>
      <w:r>
        <w:t xml:space="preserve"> </w:t>
      </w:r>
      <w:r>
        <w:t xml:space="preserve">That implies CAD parts should reflect not only geometry but also</w:t>
      </w:r>
      <w:r>
        <w:t xml:space="preserve"> </w:t>
      </w:r>
      <w:r>
        <w:rPr>
          <w:b/>
          <w:bCs/>
        </w:rPr>
        <w:t xml:space="preserve">cleanability, robustness, adjustability, and measurable alignment</w:t>
      </w:r>
      <w:r>
        <w:t xml:space="preserve"> </w:t>
      </w:r>
      <w:r>
        <w:t xml:space="preserve">that could plausibly be validated in simulation and commissioning.</w:t>
      </w:r>
      <w:r>
        <w:t xml:space="preserve"> </w:t>
      </w:r>
      <w:hyperlink r:id="rId23">
        <w:r>
          <w:rPr>
            <w:rStyle w:val="Hyperlink"/>
          </w:rPr>
          <w:t xml:space="preserve">[24]</w:t>
        </w:r>
      </w:hyperlink>
    </w:p>
    <w:bookmarkEnd w:id="40"/>
    <w:bookmarkStart w:id="41" w:name="cad-component-candidates-per-subsystem"/>
    <w:p>
      <w:pPr>
        <w:pStyle w:val="Heading2"/>
      </w:pPr>
      <w:r>
        <w:t xml:space="preserve">CAD component candidates per subsystem</w:t>
      </w:r>
    </w:p>
    <w:p>
      <w:pPr>
        <w:pStyle w:val="FirstParagraph"/>
      </w:pPr>
      <w:r>
        <w:t xml:space="preserve">Below are subsystem “bins” and the kinds of CAD components that are both (a) strongly suggested by SOMIC’s descriptions and (b) naturally revision‑prone, therefore ideal for change‑diff and release‑readiness demos.</w:t>
      </w:r>
      <w:r>
        <w:t xml:space="preserve"> </w:t>
      </w:r>
      <w:hyperlink r:id="rId39">
        <w:r>
          <w:rPr>
            <w:rStyle w:val="Hyperlink"/>
          </w:rPr>
          <w:t xml:space="preserve">[25]</w:t>
        </w:r>
      </w:hyperlink>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Subsystem bin</w:t>
            </w:r>
          </w:p>
        </w:tc>
        <w:tc>
          <w:tcPr/>
          <w:p>
            <w:pPr>
              <w:pStyle w:val="Compact"/>
            </w:pPr>
            <w:r>
              <w:t xml:space="preserve">SOMIC evidence anchor</w:t>
            </w:r>
          </w:p>
        </w:tc>
        <w:tc>
          <w:tcPr/>
          <w:p>
            <w:pPr>
              <w:pStyle w:val="Compact"/>
            </w:pPr>
            <w:r>
              <w:t xml:space="preserve">CAD component candidates (3–5 per bin)</w:t>
            </w:r>
          </w:p>
        </w:tc>
      </w:tr>
      <w:tr>
        <w:tc>
          <w:tcPr/>
          <w:p>
            <w:pPr>
              <w:pStyle w:val="Compact"/>
            </w:pPr>
            <w:r>
              <w:t xml:space="preserve">Frame, guarding, access</w:t>
            </w:r>
          </w:p>
        </w:tc>
        <w:tc>
          <w:tcPr/>
          <w:p>
            <w:pPr>
              <w:pStyle w:val="Compact"/>
            </w:pPr>
            <w:r>
              <w:t xml:space="preserve">Stainless steel frame; guard doors; ergonomic/access focus.</w:t>
            </w:r>
            <w:r>
              <w:t xml:space="preserve"> </w:t>
            </w:r>
            <w:hyperlink r:id="rId39">
              <w:r>
                <w:rPr>
                  <w:rStyle w:val="Hyperlink"/>
                </w:rPr>
                <w:t xml:space="preserve">[22]</w:t>
              </w:r>
            </w:hyperlink>
          </w:p>
        </w:tc>
        <w:tc>
          <w:tcPr/>
          <w:p>
            <w:pPr>
              <w:pStyle w:val="Compact"/>
            </w:pPr>
            <w:r>
              <w:t xml:space="preserve">Corner column bracket plate; hinge/latch mounting plate; cable/air hose routing clamps; leveling foot base plate; removable sanitation/inspection cover plate.</w:t>
            </w:r>
          </w:p>
        </w:tc>
      </w:tr>
      <w:tr>
        <w:tc>
          <w:tcPr/>
          <w:p>
            <w:pPr>
              <w:pStyle w:val="Compact"/>
            </w:pPr>
            <w:r>
              <w:t xml:space="preserve">Collecting, grouping, orienting</w:t>
            </w:r>
          </w:p>
        </w:tc>
        <w:tc>
          <w:tcPr/>
          <w:p>
            <w:pPr>
              <w:pStyle w:val="Compact"/>
            </w:pPr>
            <w:r>
              <w:t xml:space="preserve">Wraparound packer does collecting/grouping; Tray packer uses collecting/grouping unit; Lamella Chain described with picker + pusher head; CORAS does collate/group/orient/condition.</w:t>
            </w:r>
            <w:r>
              <w:t xml:space="preserve"> </w:t>
            </w:r>
            <w:hyperlink r:id="rId25">
              <w:r>
                <w:rPr>
                  <w:rStyle w:val="Hyperlink"/>
                </w:rPr>
                <w:t xml:space="preserve">[26]</w:t>
              </w:r>
            </w:hyperlink>
          </w:p>
        </w:tc>
        <w:tc>
          <w:tcPr/>
          <w:p>
            <w:pPr>
              <w:pStyle w:val="Compact"/>
            </w:pPr>
            <w:r>
              <w:t xml:space="preserve">Pusher head side plate; lamella picker finger plate; CORAS carrier “nest” insert; transfer head mounting yoke; discharge chute guide plate.</w:t>
            </w:r>
          </w:p>
        </w:tc>
      </w:tr>
      <w:tr>
        <w:tc>
          <w:tcPr/>
          <w:p>
            <w:pPr>
              <w:pStyle w:val="Compact"/>
            </w:pPr>
            <w:r>
              <w:t xml:space="preserve">Carton blank feeding and magazine</w:t>
            </w:r>
          </w:p>
        </w:tc>
        <w:tc>
          <w:tcPr/>
          <w:p>
            <w:pPr>
              <w:pStyle w:val="Compact"/>
            </w:pPr>
            <w:r>
              <w:t xml:space="preserve">QuickChange adjusts blank magazine; case erector takes blank from magazine; lidding uses lid blanks.</w:t>
            </w:r>
            <w:r>
              <w:t xml:space="preserve"> </w:t>
            </w:r>
            <w:hyperlink r:id="rId39">
              <w:r>
                <w:rPr>
                  <w:rStyle w:val="Hyperlink"/>
                </w:rPr>
                <w:t xml:space="preserve">[27]</w:t>
              </w:r>
            </w:hyperlink>
          </w:p>
        </w:tc>
        <w:tc>
          <w:tcPr/>
          <w:p>
            <w:pPr>
              <w:pStyle w:val="Compact"/>
            </w:pPr>
            <w:r>
              <w:t xml:space="preserve">Adjustable magazine side guide rail; blank separator finger; quick‑adjust clamping plate; lid blank stop/locating plate; vacuum pick cup mount plate (or vacuum conveyor interface plate).</w:t>
            </w:r>
          </w:p>
        </w:tc>
      </w:tr>
      <w:tr>
        <w:tc>
          <w:tcPr/>
          <w:p>
            <w:pPr>
              <w:pStyle w:val="Compact"/>
            </w:pPr>
            <w:r>
              <w:t xml:space="preserve">Carton forming + folding head + die</w:t>
            </w:r>
          </w:p>
        </w:tc>
        <w:tc>
          <w:tcPr/>
          <w:p>
            <w:pPr>
              <w:pStyle w:val="Compact"/>
            </w:pPr>
            <w:r>
              <w:t xml:space="preserve">Case erector erects using folding head and die; tray/wraparound processes fold around folding head; lidding folds cover blanks.</w:t>
            </w:r>
            <w:r>
              <w:t xml:space="preserve"> </w:t>
            </w:r>
            <w:hyperlink r:id="rId31">
              <w:r>
                <w:rPr>
                  <w:rStyle w:val="Hyperlink"/>
                </w:rPr>
                <w:t xml:space="preserve">[28]</w:t>
              </w:r>
            </w:hyperlink>
          </w:p>
        </w:tc>
        <w:tc>
          <w:tcPr/>
          <w:p>
            <w:pPr>
              <w:pStyle w:val="Compact"/>
            </w:pPr>
            <w:r>
              <w:t xml:space="preserve">Folding head nose plate; folding die block; guide cam plate; format‑specific folding tool insert; quick‑swap folding tool carrier plate.</w:t>
            </w:r>
          </w:p>
        </w:tc>
      </w:tr>
      <w:tr>
        <w:tc>
          <w:tcPr/>
          <w:p>
            <w:pPr>
              <w:pStyle w:val="Compact"/>
            </w:pPr>
            <w:r>
              <w:t xml:space="preserve">Hot‑melt gluing and sealing</w:t>
            </w:r>
          </w:p>
        </w:tc>
        <w:tc>
          <w:tcPr/>
          <w:p>
            <w:pPr>
              <w:pStyle w:val="Compact"/>
            </w:pPr>
            <w:r>
              <w:t xml:space="preserve">Case erector glues with hot melt; ReadyPack secures with hot glue; VM applies glue with millimeter precision and glues with sealing head.</w:t>
            </w:r>
            <w:r>
              <w:t xml:space="preserve"> </w:t>
            </w:r>
            <w:hyperlink r:id="rId31">
              <w:r>
                <w:rPr>
                  <w:rStyle w:val="Hyperlink"/>
                </w:rPr>
                <w:t xml:space="preserve">[29]</w:t>
              </w:r>
            </w:hyperlink>
          </w:p>
        </w:tc>
        <w:tc>
          <w:tcPr/>
          <w:p>
            <w:pPr>
              <w:pStyle w:val="Compact"/>
            </w:pPr>
            <w:r>
              <w:t xml:space="preserve">Glue nozzle mount plate with slots; glue head standoff bracket; sealing head guide plate; drip/guard plate (cleanability); glue position reference gauge plate (format tool).</w:t>
            </w:r>
          </w:p>
        </w:tc>
      </w:tr>
      <w:tr>
        <w:tc>
          <w:tcPr/>
          <w:p>
            <w:pPr>
              <w:pStyle w:val="Compact"/>
            </w:pPr>
            <w:r>
              <w:t xml:space="preserve">Format tools and QuickChange change parts</w:t>
            </w:r>
          </w:p>
        </w:tc>
        <w:tc>
          <w:tcPr/>
          <w:p>
            <w:pPr>
              <w:pStyle w:val="Compact"/>
            </w:pPr>
            <w:r>
              <w:t xml:space="preserve">QuickChange described; tool‑less changeover; manuals, part codes, well numbered change parts; automatic check of correct changeover referenced in case studies.</w:t>
            </w:r>
            <w:r>
              <w:t xml:space="preserve"> </w:t>
            </w:r>
            <w:hyperlink r:id="rId22">
              <w:r>
                <w:rPr>
                  <w:rStyle w:val="Hyperlink"/>
                </w:rPr>
                <w:t xml:space="preserve">[30]</w:t>
              </w:r>
            </w:hyperlink>
          </w:p>
        </w:tc>
        <w:tc>
          <w:tcPr/>
          <w:p>
            <w:pPr>
              <w:pStyle w:val="Compact"/>
            </w:pPr>
            <w:r>
              <w:t xml:space="preserve">QuickChange locating block; dowel‑and‑slot adapter plate; tool‑less latch lever bracket; “format part cradle” docking plate; keyed pin/stop block.</w:t>
            </w:r>
          </w:p>
        </w:tc>
      </w:tr>
      <w:tr>
        <w:tc>
          <w:tcPr/>
          <w:p>
            <w:pPr>
              <w:pStyle w:val="Compact"/>
            </w:pPr>
            <w:r>
              <w:t xml:space="preserve">Product transport and conditioning</w:t>
            </w:r>
          </w:p>
        </w:tc>
        <w:tc>
          <w:tcPr/>
          <w:p>
            <w:pPr>
              <w:pStyle w:val="Compact"/>
            </w:pPr>
            <w:r>
              <w:t xml:space="preserve">Transport portfolio includes line merging/turning/flipping/conditioning; QFeed chain conveyor; feed conveyor; vacuum conveyor; pouch conditioning system.</w:t>
            </w:r>
            <w:r>
              <w:t xml:space="preserve"> </w:t>
            </w:r>
            <w:hyperlink r:id="rId34">
              <w:r>
                <w:rPr>
                  <w:rStyle w:val="Hyperlink"/>
                </w:rPr>
                <w:t xml:space="preserve">[31]</w:t>
              </w:r>
            </w:hyperlink>
          </w:p>
        </w:tc>
        <w:tc>
          <w:tcPr/>
          <w:p>
            <w:pPr>
              <w:pStyle w:val="Compact"/>
            </w:pPr>
            <w:r>
              <w:t xml:space="preserve">Conveyor idler shaft bracket; chain conveyor side frame plate; nose‑bar/blade‑edge mount; adjustable product guide rail; pneumatic foldable top‑belt hinge bracket.</w:t>
            </w:r>
          </w:p>
        </w:tc>
      </w:tr>
      <w:tr>
        <w:tc>
          <w:tcPr/>
          <w:p>
            <w:pPr>
              <w:pStyle w:val="Compact"/>
            </w:pPr>
            <w:r>
              <w:t xml:space="preserve">Buffering/storage</w:t>
            </w:r>
          </w:p>
        </w:tc>
        <w:tc>
          <w:tcPr/>
          <w:p>
            <w:pPr>
              <w:pStyle w:val="Compact"/>
            </w:pPr>
            <w:r>
              <w:t xml:space="preserve">KSP 100 storage: gondolas, tool‑less gondola replacement; machine dimensions and buffer length.</w:t>
            </w:r>
            <w:r>
              <w:t xml:space="preserve"> </w:t>
            </w:r>
            <w:hyperlink r:id="rId36">
              <w:r>
                <w:rPr>
                  <w:rStyle w:val="Hyperlink"/>
                </w:rPr>
                <w:t xml:space="preserve">[19]</w:t>
              </w:r>
            </w:hyperlink>
          </w:p>
        </w:tc>
        <w:tc>
          <w:tcPr/>
          <w:p>
            <w:pPr>
              <w:pStyle w:val="Compact"/>
            </w:pPr>
            <w:r>
              <w:t xml:space="preserve">Gondola tray support bracket; quick‑release latch plate; cartridge hub flange; feed conveyor interface plate; slewing belt conveyor pivot bracket (as referenced in sequence).</w:t>
            </w:r>
          </w:p>
        </w:tc>
      </w:tr>
    </w:tbl>
    <w:bookmarkEnd w:id="41"/>
    <w:bookmarkStart w:id="43" w:name="X31b83f3fe1048208e463ea17b0467ae4bfc7053"/>
    <w:p>
      <w:pPr>
        <w:pStyle w:val="Heading2"/>
      </w:pPr>
      <w:r>
        <w:t xml:space="preserve">Representative CAD part concepts with dimensions and revision scenarios</w:t>
      </w:r>
    </w:p>
    <w:p>
      <w:pPr>
        <w:pStyle w:val="FirstParagraph"/>
      </w:pPr>
      <w:r>
        <w:t xml:space="preserve">The following 10 parts are</w:t>
      </w:r>
      <w:r>
        <w:t xml:space="preserve"> </w:t>
      </w:r>
      <w:r>
        <w:rPr>
          <w:b/>
          <w:bCs/>
        </w:rPr>
        <w:t xml:space="preserve">proposed demo artifacts</w:t>
      </w:r>
      <w:r>
        <w:t xml:space="preserve"> </w:t>
      </w:r>
      <w:r>
        <w:t xml:space="preserve">(not claimed SOMIC designs). Each is designed to be plausibly used in SOMIC‑described modules and to yield meaningful engineering drawings (multiple views, hole patterns, section views, tolerances, notes), enabling RapidDraft to show revision diffs and release‑readiness checks.</w:t>
      </w:r>
    </w:p>
    <w:p>
      <w:pPr>
        <w:pStyle w:val="BodyText"/>
      </w:pPr>
      <w:r>
        <w:t xml:space="preserve">Guiding principle: prioritize parts tied to</w:t>
      </w:r>
      <w:r>
        <w:t xml:space="preserve"> </w:t>
      </w:r>
      <w:r>
        <w:rPr>
          <w:b/>
          <w:bCs/>
        </w:rPr>
        <w:t xml:space="preserve">QuickChange format parts</w:t>
      </w:r>
      <w:r>
        <w:t xml:space="preserve">,</w:t>
      </w:r>
      <w:r>
        <w:t xml:space="preserve"> </w:t>
      </w:r>
      <w:r>
        <w:rPr>
          <w:b/>
          <w:bCs/>
        </w:rPr>
        <w:t xml:space="preserve">folding/gluing precision</w:t>
      </w:r>
      <w:r>
        <w:t xml:space="preserve">,</w:t>
      </w:r>
      <w:r>
        <w:t xml:space="preserve"> </w:t>
      </w:r>
      <w:r>
        <w:rPr>
          <w:b/>
          <w:bCs/>
        </w:rPr>
        <w:t xml:space="preserve">carrier nests</w:t>
      </w:r>
      <w:r>
        <w:t xml:space="preserve">, and</w:t>
      </w:r>
      <w:r>
        <w:t xml:space="preserve"> </w:t>
      </w:r>
      <w:r>
        <w:rPr>
          <w:b/>
          <w:bCs/>
        </w:rPr>
        <w:t xml:space="preserve">high‑speed conveying/handling</w:t>
      </w:r>
      <w:r>
        <w:t xml:space="preserve">, because those are repeatedly emphasized in SOMIC’s own descriptions.</w:t>
      </w:r>
      <w:r>
        <w:t xml:space="preserve"> </w:t>
      </w:r>
      <w:hyperlink r:id="rId39">
        <w:r>
          <w:rPr>
            <w:rStyle w:val="Hyperlink"/>
          </w:rPr>
          <w:t xml:space="preserve">[32]</w:t>
        </w:r>
      </w:hyperlink>
    </w:p>
    <w:bookmarkStart w:id="42" w:name="proposed-part-set"/>
    <w:p>
      <w:pPr>
        <w:pStyle w:val="Heading3"/>
      </w:pPr>
      <w:r>
        <w:t xml:space="preserve">Proposed part set</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Part name (demo concept)</w:t>
            </w:r>
          </w:p>
        </w:tc>
        <w:tc>
          <w:tcPr/>
          <w:p>
            <w:pPr>
              <w:pStyle w:val="Compact"/>
            </w:pPr>
            <w:r>
              <w:t xml:space="preserve">Where it “belongs” in SOMIC architecture (source‑anchored)</w:t>
            </w:r>
          </w:p>
        </w:tc>
        <w:tc>
          <w:tcPr/>
          <w:p>
            <w:pPr>
              <w:pStyle w:val="Compact"/>
            </w:pPr>
            <w:r>
              <w:t xml:space="preserve">Geometry + key features (drawing‑worthy)</w:t>
            </w:r>
          </w:p>
        </w:tc>
        <w:tc>
          <w:tcPr/>
          <w:p>
            <w:pPr>
              <w:pStyle w:val="Compact"/>
            </w:pPr>
            <w:r>
              <w:t xml:space="preserve">Proposed dimensions (mm)</w:t>
            </w:r>
          </w:p>
        </w:tc>
        <w:tc>
          <w:tcPr/>
          <w:p>
            <w:pPr>
              <w:pStyle w:val="Compact"/>
            </w:pPr>
            <w:r>
              <w:t xml:space="preserve">Material suggestion</w:t>
            </w:r>
          </w:p>
        </w:tc>
        <w:tc>
          <w:tcPr/>
          <w:p>
            <w:pPr>
              <w:pStyle w:val="Compact"/>
            </w:pPr>
            <w:r>
              <w:t xml:space="preserve">Rev A → Rev B change scenario (what/why/criticality)</w:t>
            </w:r>
          </w:p>
        </w:tc>
        <w:tc>
          <w:tcPr/>
          <w:p>
            <w:pPr>
              <w:pStyle w:val="Compact"/>
            </w:pPr>
            <w:r>
              <w:t xml:space="preserve">Best suited for RapidDraft</w:t>
            </w:r>
          </w:p>
        </w:tc>
      </w:tr>
      <w:tr>
        <w:tc>
          <w:tcPr/>
          <w:p>
            <w:pPr>
              <w:pStyle w:val="Compact"/>
            </w:pPr>
            <w:r>
              <w:t xml:space="preserve">QuickChange Locating Adapter Plate</w:t>
            </w:r>
          </w:p>
        </w:tc>
        <w:tc>
          <w:tcPr/>
          <w:p>
            <w:pPr>
              <w:pStyle w:val="Compact"/>
            </w:pPr>
            <w:r>
              <w:t xml:space="preserve">QuickChange used to adjust folding tools, gluing positions, blank magazine and change format parts.</w:t>
            </w:r>
            <w:r>
              <w:t xml:space="preserve"> </w:t>
            </w:r>
            <w:hyperlink r:id="rId39">
              <w:r>
                <w:rPr>
                  <w:rStyle w:val="Hyperlink"/>
                </w:rPr>
                <w:t xml:space="preserve">[33]</w:t>
              </w:r>
            </w:hyperlink>
          </w:p>
        </w:tc>
        <w:tc>
          <w:tcPr/>
          <w:p>
            <w:pPr>
              <w:pStyle w:val="Compact"/>
            </w:pPr>
            <w:r>
              <w:t xml:space="preserve">Flat plate with 2 precision dowel holes, 4 slotted bolt holes, datum target pads, edge relief for sanitation; etched part‑code area.</w:t>
            </w:r>
          </w:p>
        </w:tc>
        <w:tc>
          <w:tcPr/>
          <w:p>
            <w:pPr>
              <w:pStyle w:val="Compact"/>
            </w:pPr>
            <w:r>
              <w:t xml:space="preserve">220×140×12; slots 10×30; dowels Ø8 H7</w:t>
            </w:r>
          </w:p>
        </w:tc>
        <w:tc>
          <w:tcPr/>
          <w:p>
            <w:pPr>
              <w:pStyle w:val="Compact"/>
            </w:pPr>
            <w:r>
              <w:t xml:space="preserve">Al 6082‑T6 anodized (light, corrosion resistant)</w:t>
            </w:r>
          </w:p>
        </w:tc>
        <w:tc>
          <w:tcPr/>
          <w:p>
            <w:pPr>
              <w:pStyle w:val="Compact"/>
            </w:pPr>
            <w:r>
              <w:rPr>
                <w:b/>
                <w:bCs/>
              </w:rPr>
              <w:t xml:space="preserve">What:</w:t>
            </w:r>
            <w:r>
              <w:t xml:space="preserve"> </w:t>
            </w:r>
            <w:r>
              <w:t xml:space="preserve">add 2nd dowel + tighten slot tolerances;</w:t>
            </w:r>
            <w:r>
              <w:t xml:space="preserve"> </w:t>
            </w:r>
            <w:r>
              <w:rPr>
                <w:b/>
                <w:bCs/>
              </w:rPr>
              <w:t xml:space="preserve">Why:</w:t>
            </w:r>
            <w:r>
              <w:t xml:space="preserve"> </w:t>
            </w:r>
            <w:r>
              <w:t xml:space="preserve">repeatability for “no tweaking” format change;</w:t>
            </w:r>
            <w:r>
              <w:t xml:space="preserve"> </w:t>
            </w:r>
            <w:r>
              <w:rPr>
                <w:b/>
                <w:bCs/>
              </w:rPr>
              <w:t xml:space="preserve">Criticality:</w:t>
            </w:r>
            <w:r>
              <w:t xml:space="preserve"> </w:t>
            </w:r>
            <w:r>
              <w:rPr>
                <w:b/>
                <w:bCs/>
              </w:rPr>
              <w:t xml:space="preserve">Critical</w:t>
            </w:r>
            <w:r>
              <w:t xml:space="preserve"> </w:t>
            </w:r>
            <w:r>
              <w:t xml:space="preserve">(alignment).</w:t>
            </w:r>
          </w:p>
        </w:tc>
        <w:tc>
          <w:tcPr/>
          <w:p>
            <w:pPr>
              <w:pStyle w:val="Compact"/>
            </w:pPr>
            <w:r>
              <w:t xml:space="preserve">Release readiness (datums/tolerances), diff (hole pattern + slot changes)</w:t>
            </w:r>
          </w:p>
        </w:tc>
      </w:tr>
      <w:tr>
        <w:tc>
          <w:tcPr/>
          <w:p>
            <w:pPr>
              <w:pStyle w:val="Compact"/>
            </w:pPr>
            <w:r>
              <w:t xml:space="preserve">Blank Magazine Side Guide Rail</w:t>
            </w:r>
          </w:p>
        </w:tc>
        <w:tc>
          <w:tcPr/>
          <w:p>
            <w:pPr>
              <w:pStyle w:val="Compact"/>
            </w:pPr>
            <w:r>
              <w:t xml:space="preserve">Blank magazine is explicitly adjusted via QuickChange; case erector uses a carton blank magazine.</w:t>
            </w:r>
            <w:r>
              <w:t xml:space="preserve"> </w:t>
            </w:r>
            <w:hyperlink r:id="rId39">
              <w:r>
                <w:rPr>
                  <w:rStyle w:val="Hyperlink"/>
                </w:rPr>
                <w:t xml:space="preserve">[34]</w:t>
              </w:r>
            </w:hyperlink>
          </w:p>
        </w:tc>
        <w:tc>
          <w:tcPr/>
          <w:p>
            <w:pPr>
              <w:pStyle w:val="Compact"/>
            </w:pPr>
            <w:r>
              <w:t xml:space="preserve">L‑profile rail with elongated adjustment slots, scale engraving, clamping ears, radiused internal corners (cleanability).</w:t>
            </w:r>
          </w:p>
        </w:tc>
        <w:tc>
          <w:tcPr/>
          <w:p>
            <w:pPr>
              <w:pStyle w:val="Compact"/>
            </w:pPr>
            <w:r>
              <w:t xml:space="preserve">Length 600; flange 50; web 30; thickness 6</w:t>
            </w:r>
          </w:p>
        </w:tc>
        <w:tc>
          <w:tcPr/>
          <w:p>
            <w:pPr>
              <w:pStyle w:val="Compact"/>
            </w:pPr>
            <w:r>
              <w:t xml:space="preserve">Stainless 304</w:t>
            </w:r>
          </w:p>
        </w:tc>
        <w:tc>
          <w:tcPr/>
          <w:p>
            <w:pPr>
              <w:pStyle w:val="Compact"/>
            </w:pPr>
            <w:r>
              <w:rPr>
                <w:b/>
                <w:bCs/>
              </w:rPr>
              <w:t xml:space="preserve">What:</w:t>
            </w:r>
            <w:r>
              <w:t xml:space="preserve"> </w:t>
            </w:r>
            <w:r>
              <w:t xml:space="preserve">slot length increased + clamp ear thickened;</w:t>
            </w:r>
            <w:r>
              <w:t xml:space="preserve"> </w:t>
            </w:r>
            <w:r>
              <w:rPr>
                <w:b/>
                <w:bCs/>
              </w:rPr>
              <w:t xml:space="preserve">Why:</w:t>
            </w:r>
            <w:r>
              <w:t xml:space="preserve"> </w:t>
            </w:r>
            <w:r>
              <w:t xml:space="preserve">expand format range; reduce flex;</w:t>
            </w:r>
            <w:r>
              <w:t xml:space="preserve"> </w:t>
            </w:r>
            <w:r>
              <w:rPr>
                <w:b/>
                <w:bCs/>
              </w:rPr>
              <w:t xml:space="preserve">Criticality:</w:t>
            </w:r>
            <w:r>
              <w:t xml:space="preserve"> </w:t>
            </w:r>
            <w:r>
              <w:t xml:space="preserve">Major.</w:t>
            </w:r>
          </w:p>
        </w:tc>
        <w:tc>
          <w:tcPr/>
          <w:p>
            <w:pPr>
              <w:pStyle w:val="Compact"/>
            </w:pPr>
            <w:r>
              <w:t xml:space="preserve">Diff (slot geometry), release checks (missing slot dimension, inconsistent scale note)</w:t>
            </w:r>
          </w:p>
        </w:tc>
      </w:tr>
      <w:tr>
        <w:tc>
          <w:tcPr/>
          <w:p>
            <w:pPr>
              <w:pStyle w:val="Compact"/>
            </w:pPr>
            <w:r>
              <w:t xml:space="preserve">Folding Head Nose Plate</w:t>
            </w:r>
          </w:p>
        </w:tc>
        <w:tc>
          <w:tcPr/>
          <w:p>
            <w:pPr>
              <w:pStyle w:val="Compact"/>
            </w:pPr>
            <w:r>
              <w:t xml:space="preserve">Folding head appears in wraparound/tray processes and case erector erects using folding head and die.</w:t>
            </w:r>
            <w:r>
              <w:t xml:space="preserve"> </w:t>
            </w:r>
            <w:hyperlink r:id="rId25">
              <w:r>
                <w:rPr>
                  <w:rStyle w:val="Hyperlink"/>
                </w:rPr>
                <w:t xml:space="preserve">[35]</w:t>
              </w:r>
            </w:hyperlink>
          </w:p>
        </w:tc>
        <w:tc>
          <w:tcPr/>
          <w:p>
            <w:pPr>
              <w:pStyle w:val="Compact"/>
            </w:pPr>
            <w:r>
              <w:t xml:space="preserve">Contoured plate with smooth radii, countersunk mounting pattern, replaceable wear strip interface, one section view required.</w:t>
            </w:r>
          </w:p>
        </w:tc>
        <w:tc>
          <w:tcPr/>
          <w:p>
            <w:pPr>
              <w:pStyle w:val="Compact"/>
            </w:pPr>
            <w:r>
              <w:t xml:space="preserve">180×120×20; nose radius R25; 6×CSK Ø6.6</w:t>
            </w:r>
          </w:p>
        </w:tc>
        <w:tc>
          <w:tcPr/>
          <w:p>
            <w:pPr>
              <w:pStyle w:val="Compact"/>
            </w:pPr>
            <w:r>
              <w:t xml:space="preserve">Stainless 316 (food/cleaning)</w:t>
            </w:r>
          </w:p>
        </w:tc>
        <w:tc>
          <w:tcPr/>
          <w:p>
            <w:pPr>
              <w:pStyle w:val="Compact"/>
            </w:pPr>
            <w:r>
              <w:rPr>
                <w:b/>
                <w:bCs/>
              </w:rPr>
              <w:t xml:space="preserve">What:</w:t>
            </w:r>
            <w:r>
              <w:t xml:space="preserve"> </w:t>
            </w:r>
            <w:r>
              <w:t xml:space="preserve">change nose radius + add wear strip pocket;</w:t>
            </w:r>
            <w:r>
              <w:t xml:space="preserve"> </w:t>
            </w:r>
            <w:r>
              <w:rPr>
                <w:b/>
                <w:bCs/>
              </w:rPr>
              <w:t xml:space="preserve">Why:</w:t>
            </w:r>
            <w:r>
              <w:t xml:space="preserve"> </w:t>
            </w:r>
            <w:r>
              <w:t xml:space="preserve">reduce carton scuffing + extend life at higher speed;</w:t>
            </w:r>
            <w:r>
              <w:t xml:space="preserve"> </w:t>
            </w:r>
            <w:r>
              <w:rPr>
                <w:b/>
                <w:bCs/>
              </w:rPr>
              <w:t xml:space="preserve">Criticality:</w:t>
            </w:r>
            <w:r>
              <w:t xml:space="preserve"> </w:t>
            </w:r>
            <w:r>
              <w:t xml:space="preserve">Major (process quality).</w:t>
            </w:r>
          </w:p>
        </w:tc>
        <w:tc>
          <w:tcPr/>
          <w:p>
            <w:pPr>
              <w:pStyle w:val="Compact"/>
            </w:pPr>
            <w:r>
              <w:t xml:space="preserve">Diff (profile + section), release readiness (section view + surface finish notes)</w:t>
            </w:r>
          </w:p>
        </w:tc>
      </w:tr>
      <w:tr>
        <w:tc>
          <w:tcPr/>
          <w:p>
            <w:pPr>
              <w:pStyle w:val="Compact"/>
            </w:pPr>
            <w:r>
              <w:t xml:space="preserve">Folding Die Block (Carton Erection)</w:t>
            </w:r>
          </w:p>
        </w:tc>
        <w:tc>
          <w:tcPr/>
          <w:p>
            <w:pPr>
              <w:pStyle w:val="Compact"/>
            </w:pPr>
            <w:r>
              <w:t xml:space="preserve">Case erector: blank positioned on vacuum conveyor; carton erected using folding head and die and glued with hot melt.</w:t>
            </w:r>
            <w:r>
              <w:t xml:space="preserve"> </w:t>
            </w:r>
            <w:hyperlink r:id="rId31">
              <w:r>
                <w:rPr>
                  <w:rStyle w:val="Hyperlink"/>
                </w:rPr>
                <w:t xml:space="preserve">[14]</w:t>
              </w:r>
            </w:hyperlink>
          </w:p>
        </w:tc>
        <w:tc>
          <w:tcPr/>
          <w:p>
            <w:pPr>
              <w:pStyle w:val="Compact"/>
            </w:pPr>
            <w:r>
              <w:t xml:space="preserve">Machined block with stepped faces, threaded inserts, dowel holes, chamfers; datum scheme for die alignment.</w:t>
            </w:r>
          </w:p>
        </w:tc>
        <w:tc>
          <w:tcPr/>
          <w:p>
            <w:pPr>
              <w:pStyle w:val="Compact"/>
            </w:pPr>
            <w:r>
              <w:t xml:space="preserve">160×80×40; 2×dowels Ø10; 4×M8</w:t>
            </w:r>
          </w:p>
        </w:tc>
        <w:tc>
          <w:tcPr/>
          <w:p>
            <w:pPr>
              <w:pStyle w:val="Compact"/>
            </w:pPr>
            <w:r>
              <w:t xml:space="preserve">Tool steel (e.g., 1.2379)</w:t>
            </w:r>
          </w:p>
        </w:tc>
        <w:tc>
          <w:tcPr/>
          <w:p>
            <w:pPr>
              <w:pStyle w:val="Compact"/>
            </w:pPr>
            <w:r>
              <w:rPr>
                <w:b/>
                <w:bCs/>
              </w:rPr>
              <w:t xml:space="preserve">What:</w:t>
            </w:r>
            <w:r>
              <w:t xml:space="preserve"> </w:t>
            </w:r>
            <w:r>
              <w:t xml:space="preserve">reposition dowel by 1.5 mm;</w:t>
            </w:r>
            <w:r>
              <w:t xml:space="preserve"> </w:t>
            </w:r>
            <w:r>
              <w:rPr>
                <w:b/>
                <w:bCs/>
              </w:rPr>
              <w:t xml:space="preserve">Why:</w:t>
            </w:r>
            <w:r>
              <w:t xml:space="preserve"> </w:t>
            </w:r>
            <w:r>
              <w:t xml:space="preserve">correct erection squareness;</w:t>
            </w:r>
            <w:r>
              <w:t xml:space="preserve"> </w:t>
            </w:r>
            <w:r>
              <w:rPr>
                <w:b/>
                <w:bCs/>
              </w:rPr>
              <w:t xml:space="preserve">Criticality:</w:t>
            </w:r>
            <w:r>
              <w:t xml:space="preserve"> </w:t>
            </w:r>
            <w:r>
              <w:rPr>
                <w:b/>
                <w:bCs/>
              </w:rPr>
              <w:t xml:space="preserve">Critical</w:t>
            </w:r>
            <w:r>
              <w:t xml:space="preserve"> </w:t>
            </w:r>
            <w:r>
              <w:t xml:space="preserve">(geometry reference).</w:t>
            </w:r>
          </w:p>
        </w:tc>
        <w:tc>
          <w:tcPr/>
          <w:p>
            <w:pPr>
              <w:pStyle w:val="Compact"/>
            </w:pPr>
            <w:r>
              <w:t xml:space="preserve">Diff (dowel move is obvious), release readiness (datum consistency, hole callout correctness)</w:t>
            </w:r>
          </w:p>
        </w:tc>
      </w:tr>
      <w:tr>
        <w:tc>
          <w:tcPr/>
          <w:p>
            <w:pPr>
              <w:pStyle w:val="Compact"/>
            </w:pPr>
            <w:r>
              <w:t xml:space="preserve">Hot‑Melt Glue Nozzle Mount Bracket</w:t>
            </w:r>
          </w:p>
        </w:tc>
        <w:tc>
          <w:tcPr/>
          <w:p>
            <w:pPr>
              <w:pStyle w:val="Compact"/>
            </w:pPr>
            <w:r>
              <w:t xml:space="preserve">VM: glue applied with “millimeter precision”; case erector + ReadyPack use hot melt/hot glue.</w:t>
            </w:r>
            <w:r>
              <w:t xml:space="preserve"> </w:t>
            </w:r>
            <w:hyperlink r:id="rId33">
              <w:r>
                <w:rPr>
                  <w:rStyle w:val="Hyperlink"/>
                </w:rPr>
                <w:t xml:space="preserve">[36]</w:t>
              </w:r>
            </w:hyperlink>
          </w:p>
        </w:tc>
        <w:tc>
          <w:tcPr/>
          <w:p>
            <w:pPr>
              <w:pStyle w:val="Compact"/>
            </w:pPr>
            <w:r>
              <w:t xml:space="preserve">Bent bracket with slotted micro‑adjust, stiffening rib, drip shield lip, locating boss; GD&amp;T on nozzle face flatness.</w:t>
            </w:r>
          </w:p>
        </w:tc>
        <w:tc>
          <w:tcPr/>
          <w:p>
            <w:pPr>
              <w:pStyle w:val="Compact"/>
            </w:pPr>
            <w:r>
              <w:t xml:space="preserve">Base 120×60×6; vertical leg 80; slot 7×20</w:t>
            </w:r>
          </w:p>
        </w:tc>
        <w:tc>
          <w:tcPr/>
          <w:p>
            <w:pPr>
              <w:pStyle w:val="Compact"/>
            </w:pPr>
            <w:r>
              <w:t xml:space="preserve">Stainless 304</w:t>
            </w:r>
          </w:p>
        </w:tc>
        <w:tc>
          <w:tcPr/>
          <w:p>
            <w:pPr>
              <w:pStyle w:val="Compact"/>
            </w:pPr>
            <w:r>
              <w:rPr>
                <w:b/>
                <w:bCs/>
              </w:rPr>
              <w:t xml:space="preserve">What:</w:t>
            </w:r>
            <w:r>
              <w:t xml:space="preserve"> </w:t>
            </w:r>
            <w:r>
              <w:t xml:space="preserve">add stiffener + reduce slot width;</w:t>
            </w:r>
            <w:r>
              <w:t xml:space="preserve"> </w:t>
            </w:r>
            <w:r>
              <w:rPr>
                <w:b/>
                <w:bCs/>
              </w:rPr>
              <w:t xml:space="preserve">Why:</w:t>
            </w:r>
            <w:r>
              <w:t xml:space="preserve"> </w:t>
            </w:r>
            <w:r>
              <w:t xml:space="preserve">reduce vibration drift at high throughput;</w:t>
            </w:r>
            <w:r>
              <w:t xml:space="preserve"> </w:t>
            </w:r>
            <w:r>
              <w:rPr>
                <w:b/>
                <w:bCs/>
              </w:rPr>
              <w:t xml:space="preserve">Criticality:</w:t>
            </w:r>
            <w:r>
              <w:t xml:space="preserve"> </w:t>
            </w:r>
            <w:r>
              <w:rPr>
                <w:b/>
                <w:bCs/>
              </w:rPr>
              <w:t xml:space="preserve">Critical</w:t>
            </w:r>
            <w:r>
              <w:t xml:space="preserve"> </w:t>
            </w:r>
            <w:r>
              <w:t xml:space="preserve">(glue placement).</w:t>
            </w:r>
          </w:p>
        </w:tc>
        <w:tc>
          <w:tcPr/>
          <w:p>
            <w:pPr>
              <w:pStyle w:val="Compact"/>
            </w:pPr>
            <w:r>
              <w:t xml:space="preserve">Release readiness (tolerances, flatness), diff (added rib/feature)</w:t>
            </w:r>
          </w:p>
        </w:tc>
      </w:tr>
      <w:tr>
        <w:tc>
          <w:tcPr/>
          <w:p>
            <w:pPr>
              <w:pStyle w:val="Compact"/>
            </w:pPr>
            <w:r>
              <w:t xml:space="preserve">Sealing Head Guide Plate</w:t>
            </w:r>
          </w:p>
        </w:tc>
        <w:tc>
          <w:tcPr/>
          <w:p>
            <w:pPr>
              <w:pStyle w:val="Compact"/>
            </w:pPr>
            <w:r>
              <w:t xml:space="preserve">VM: lid flap folded and glued with sealing head; format tools tool‑less.</w:t>
            </w:r>
            <w:r>
              <w:t xml:space="preserve"> </w:t>
            </w:r>
            <w:hyperlink r:id="rId33">
              <w:r>
                <w:rPr>
                  <w:rStyle w:val="Hyperlink"/>
                </w:rPr>
                <w:t xml:space="preserve">[16]</w:t>
              </w:r>
            </w:hyperlink>
          </w:p>
        </w:tc>
        <w:tc>
          <w:tcPr/>
          <w:p>
            <w:pPr>
              <w:pStyle w:val="Compact"/>
            </w:pPr>
            <w:r>
              <w:t xml:space="preserve">Plate with cam profile edge, mounting pattern, replaceable UHMW wear pad holes; requires profile tolerance note.</w:t>
            </w:r>
          </w:p>
        </w:tc>
        <w:tc>
          <w:tcPr/>
          <w:p>
            <w:pPr>
              <w:pStyle w:val="Compact"/>
            </w:pPr>
            <w:r>
              <w:t xml:space="preserve">240×100×10; cam profile ±0.2</w:t>
            </w:r>
          </w:p>
        </w:tc>
        <w:tc>
          <w:tcPr/>
          <w:p>
            <w:pPr>
              <w:pStyle w:val="Compact"/>
            </w:pPr>
            <w:r>
              <w:t xml:space="preserve">Stainless 304 + polymer wear strip</w:t>
            </w:r>
          </w:p>
        </w:tc>
        <w:tc>
          <w:tcPr/>
          <w:p>
            <w:pPr>
              <w:pStyle w:val="Compact"/>
            </w:pPr>
            <w:r>
              <w:rPr>
                <w:b/>
                <w:bCs/>
              </w:rPr>
              <w:t xml:space="preserve">What:</w:t>
            </w:r>
            <w:r>
              <w:t xml:space="preserve"> </w:t>
            </w:r>
            <w:r>
              <w:t xml:space="preserve">cam profile modified;</w:t>
            </w:r>
            <w:r>
              <w:t xml:space="preserve"> </w:t>
            </w:r>
            <w:r>
              <w:rPr>
                <w:b/>
                <w:bCs/>
              </w:rPr>
              <w:t xml:space="preserve">Why:</w:t>
            </w:r>
            <w:r>
              <w:t xml:space="preserve"> </w:t>
            </w:r>
            <w:r>
              <w:t xml:space="preserve">accommodate new carton height range;</w:t>
            </w:r>
            <w:r>
              <w:t xml:space="preserve"> </w:t>
            </w:r>
            <w:r>
              <w:rPr>
                <w:b/>
                <w:bCs/>
              </w:rPr>
              <w:t xml:space="preserve">Criticality:</w:t>
            </w:r>
            <w:r>
              <w:t xml:space="preserve"> </w:t>
            </w:r>
            <w:r>
              <w:t xml:space="preserve">Major.</w:t>
            </w:r>
          </w:p>
        </w:tc>
        <w:tc>
          <w:tcPr/>
          <w:p>
            <w:pPr>
              <w:pStyle w:val="Compact"/>
            </w:pPr>
            <w:r>
              <w:t xml:space="preserve">Diff (profile changes), release checks (profile tolerance note, missing detail view)</w:t>
            </w:r>
          </w:p>
        </w:tc>
      </w:tr>
      <w:tr>
        <w:tc>
          <w:tcPr/>
          <w:p>
            <w:pPr>
              <w:pStyle w:val="Compact"/>
            </w:pPr>
            <w:r>
              <w:t xml:space="preserve">Lamella Pusher Head Side Plate</w:t>
            </w:r>
          </w:p>
        </w:tc>
        <w:tc>
          <w:tcPr/>
          <w:p>
            <w:pPr>
              <w:pStyle w:val="Compact"/>
            </w:pPr>
            <w:r>
              <w:t xml:space="preserve">Lamella Chain: synchronized sequence between lamella picker and pusher head; tool‑less changeover.</w:t>
            </w:r>
            <w:r>
              <w:t xml:space="preserve"> </w:t>
            </w:r>
            <w:hyperlink r:id="rId30">
              <w:r>
                <w:rPr>
                  <w:rStyle w:val="Hyperlink"/>
                </w:rPr>
                <w:t xml:space="preserve">[13]</w:t>
              </w:r>
            </w:hyperlink>
          </w:p>
        </w:tc>
        <w:tc>
          <w:tcPr/>
          <w:p>
            <w:pPr>
              <w:pStyle w:val="Compact"/>
            </w:pPr>
            <w:r>
              <w:t xml:space="preserve">Side plate with linear guide holes, bearing seat, multiple tapped holes, lightweight pockets; assembly drawing reference.</w:t>
            </w:r>
          </w:p>
        </w:tc>
        <w:tc>
          <w:tcPr/>
          <w:p>
            <w:pPr>
              <w:pStyle w:val="Compact"/>
            </w:pPr>
            <w:r>
              <w:t xml:space="preserve">320×180×12; guide hole pattern 160×80</w:t>
            </w:r>
          </w:p>
        </w:tc>
        <w:tc>
          <w:tcPr/>
          <w:p>
            <w:pPr>
              <w:pStyle w:val="Compact"/>
            </w:pPr>
            <w:r>
              <w:t xml:space="preserve">Al 7075‑T6</w:t>
            </w:r>
          </w:p>
        </w:tc>
        <w:tc>
          <w:tcPr/>
          <w:p>
            <w:pPr>
              <w:pStyle w:val="Compact"/>
            </w:pPr>
            <w:r>
              <w:rPr>
                <w:b/>
                <w:bCs/>
              </w:rPr>
              <w:t xml:space="preserve">What:</w:t>
            </w:r>
            <w:r>
              <w:t xml:space="preserve"> </w:t>
            </w:r>
            <w:r>
              <w:t xml:space="preserve">add pocket + move guide hole 0.8 mm;</w:t>
            </w:r>
            <w:r>
              <w:t xml:space="preserve"> </w:t>
            </w:r>
            <w:r>
              <w:rPr>
                <w:b/>
                <w:bCs/>
              </w:rPr>
              <w:t xml:space="preserve">Why:</w:t>
            </w:r>
            <w:r>
              <w:t xml:space="preserve"> </w:t>
            </w:r>
            <w:r>
              <w:t xml:space="preserve">weight reduction + alignment correction;</w:t>
            </w:r>
            <w:r>
              <w:t xml:space="preserve"> </w:t>
            </w:r>
            <w:r>
              <w:rPr>
                <w:b/>
                <w:bCs/>
              </w:rPr>
              <w:t xml:space="preserve">Criticality:</w:t>
            </w:r>
            <w:r>
              <w:t xml:space="preserve"> </w:t>
            </w:r>
            <w:r>
              <w:t xml:space="preserve">Major.</w:t>
            </w:r>
          </w:p>
        </w:tc>
        <w:tc>
          <w:tcPr/>
          <w:p>
            <w:pPr>
              <w:pStyle w:val="Compact"/>
            </w:pPr>
            <w:r>
              <w:t xml:space="preserve">Diff (hole move), release readiness (assembly reference, hole tolerance)</w:t>
            </w:r>
          </w:p>
        </w:tc>
      </w:tr>
      <w:tr>
        <w:tc>
          <w:tcPr/>
          <w:p>
            <w:pPr>
              <w:pStyle w:val="Compact"/>
            </w:pPr>
            <w:r>
              <w:t xml:space="preserve">CORAS Carrier Product Nest Insert</w:t>
            </w:r>
          </w:p>
        </w:tc>
        <w:tc>
          <w:tcPr/>
          <w:p>
            <w:pPr>
              <w:pStyle w:val="Compact"/>
            </w:pPr>
            <w:r>
              <w:t xml:space="preserve">CORAS: product containers on carriers matched to product; changes via operating terminal; robust and cleanable.</w:t>
            </w:r>
            <w:r>
              <w:t xml:space="preserve"> </w:t>
            </w:r>
            <w:hyperlink r:id="rId23">
              <w:r>
                <w:rPr>
                  <w:rStyle w:val="Hyperlink"/>
                </w:rPr>
                <w:t xml:space="preserve">[3]</w:t>
              </w:r>
            </w:hyperlink>
          </w:p>
        </w:tc>
        <w:tc>
          <w:tcPr/>
          <w:p>
            <w:pPr>
              <w:pStyle w:val="Compact"/>
            </w:pPr>
            <w:r>
              <w:t xml:space="preserve">Insert with 4–8 pockets (product nests), drain/cleaning radii, quick‑swap latch pockets; multiple section views.</w:t>
            </w:r>
          </w:p>
        </w:tc>
        <w:tc>
          <w:tcPr/>
          <w:p>
            <w:pPr>
              <w:pStyle w:val="Compact"/>
            </w:pPr>
            <w:r>
              <w:t xml:space="preserve">200×200×20; pocket Ø55×8 deep (example)</w:t>
            </w:r>
          </w:p>
        </w:tc>
        <w:tc>
          <w:tcPr/>
          <w:p>
            <w:pPr>
              <w:pStyle w:val="Compact"/>
            </w:pPr>
            <w:r>
              <w:t xml:space="preserve">POM‑C / Delrin (gentle handling)</w:t>
            </w:r>
          </w:p>
        </w:tc>
        <w:tc>
          <w:tcPr/>
          <w:p>
            <w:pPr>
              <w:pStyle w:val="Compact"/>
            </w:pPr>
            <w:r>
              <w:rPr>
                <w:b/>
                <w:bCs/>
              </w:rPr>
              <w:t xml:space="preserve">What:</w:t>
            </w:r>
            <w:r>
              <w:t xml:space="preserve"> </w:t>
            </w:r>
            <w:r>
              <w:t xml:space="preserve">change pocket diameter + add lead‑in chamfer;</w:t>
            </w:r>
            <w:r>
              <w:t xml:space="preserve"> </w:t>
            </w:r>
            <w:r>
              <w:rPr>
                <w:b/>
                <w:bCs/>
              </w:rPr>
              <w:t xml:space="preserve">Why:</w:t>
            </w:r>
            <w:r>
              <w:t xml:space="preserve"> </w:t>
            </w:r>
            <w:r>
              <w:t xml:space="preserve">new product variant/mixed format;</w:t>
            </w:r>
            <w:r>
              <w:t xml:space="preserve"> </w:t>
            </w:r>
            <w:r>
              <w:rPr>
                <w:b/>
                <w:bCs/>
              </w:rPr>
              <w:t xml:space="preserve">Criticality:</w:t>
            </w:r>
            <w:r>
              <w:t xml:space="preserve"> </w:t>
            </w:r>
            <w:r>
              <w:rPr>
                <w:b/>
                <w:bCs/>
              </w:rPr>
              <w:t xml:space="preserve">Critical</w:t>
            </w:r>
            <w:r>
              <w:t xml:space="preserve"> </w:t>
            </w:r>
            <w:r>
              <w:t xml:space="preserve">(product stability).</w:t>
            </w:r>
          </w:p>
        </w:tc>
        <w:tc>
          <w:tcPr/>
          <w:p>
            <w:pPr>
              <w:pStyle w:val="Compact"/>
            </w:pPr>
            <w:r>
              <w:t xml:space="preserve">Diff (pocket changes), release readiness (material note, surface finish, missing sections)</w:t>
            </w:r>
          </w:p>
        </w:tc>
      </w:tr>
      <w:tr>
        <w:tc>
          <w:tcPr/>
          <w:p>
            <w:pPr>
              <w:pStyle w:val="Compact"/>
            </w:pPr>
            <w:r>
              <w:t xml:space="preserve">QFeed Idler Sprocket Mount Plate</w:t>
            </w:r>
          </w:p>
        </w:tc>
        <w:tc>
          <w:tcPr/>
          <w:p>
            <w:pPr>
              <w:pStyle w:val="Compact"/>
            </w:pPr>
            <w:r>
              <w:t xml:space="preserve">QFeed chain conveyor: small radii at drive/idler; speed up to 120 m/min; aluminium/stainless.</w:t>
            </w:r>
            <w:r>
              <w:t xml:space="preserve"> </w:t>
            </w:r>
            <w:hyperlink r:id="rId37">
              <w:r>
                <w:rPr>
                  <w:rStyle w:val="Hyperlink"/>
                </w:rPr>
                <w:t xml:space="preserve">[20]</w:t>
              </w:r>
            </w:hyperlink>
          </w:p>
        </w:tc>
        <w:tc>
          <w:tcPr/>
          <w:p>
            <w:pPr>
              <w:pStyle w:val="Compact"/>
            </w:pPr>
            <w:r>
              <w:t xml:space="preserve">Plate with slotted idler adjustment, bearing housing pattern, tension scale marks; includes safety guard mounting holes.</w:t>
            </w:r>
          </w:p>
        </w:tc>
        <w:tc>
          <w:tcPr/>
          <w:p>
            <w:pPr>
              <w:pStyle w:val="Compact"/>
            </w:pPr>
            <w:r>
              <w:t xml:space="preserve">180×120×8; slot 11×35</w:t>
            </w:r>
          </w:p>
        </w:tc>
        <w:tc>
          <w:tcPr/>
          <w:p>
            <w:pPr>
              <w:pStyle w:val="Compact"/>
            </w:pPr>
            <w:r>
              <w:t xml:space="preserve">Stainless 304 or Al (variant)</w:t>
            </w:r>
          </w:p>
        </w:tc>
        <w:tc>
          <w:tcPr/>
          <w:p>
            <w:pPr>
              <w:pStyle w:val="Compact"/>
            </w:pPr>
            <w:r>
              <w:rPr>
                <w:b/>
                <w:bCs/>
              </w:rPr>
              <w:t xml:space="preserve">What:</w:t>
            </w:r>
            <w:r>
              <w:t xml:space="preserve"> </w:t>
            </w:r>
            <w:r>
              <w:t xml:space="preserve">extend slot + add guard holes;</w:t>
            </w:r>
            <w:r>
              <w:t xml:space="preserve"> </w:t>
            </w:r>
            <w:r>
              <w:rPr>
                <w:b/>
                <w:bCs/>
              </w:rPr>
              <w:t xml:space="preserve">Why:</w:t>
            </w:r>
            <w:r>
              <w:t xml:space="preserve"> </w:t>
            </w:r>
            <w:r>
              <w:t xml:space="preserve">simplify tensioning + improve safety integration;</w:t>
            </w:r>
            <w:r>
              <w:t xml:space="preserve"> </w:t>
            </w:r>
            <w:r>
              <w:rPr>
                <w:b/>
                <w:bCs/>
              </w:rPr>
              <w:t xml:space="preserve">Criticality:</w:t>
            </w:r>
            <w:r>
              <w:t xml:space="preserve"> </w:t>
            </w:r>
            <w:r>
              <w:t xml:space="preserve">Major.</w:t>
            </w:r>
          </w:p>
        </w:tc>
        <w:tc>
          <w:tcPr/>
          <w:p>
            <w:pPr>
              <w:pStyle w:val="Compact"/>
            </w:pPr>
            <w:r>
              <w:t xml:space="preserve">Release readiness (slot dims, guard interface), diff (added holes)</w:t>
            </w:r>
          </w:p>
        </w:tc>
      </w:tr>
      <w:tr>
        <w:tc>
          <w:tcPr/>
          <w:p>
            <w:pPr>
              <w:pStyle w:val="Compact"/>
            </w:pPr>
            <w:r>
              <w:t xml:space="preserve">Pouch Conditioning Top‑Belt Hinge Bracket</w:t>
            </w:r>
          </w:p>
        </w:tc>
        <w:tc>
          <w:tcPr/>
          <w:p>
            <w:pPr>
              <w:pStyle w:val="Compact"/>
            </w:pPr>
            <w:r>
              <w:t xml:space="preserve">Pouch conditioning: adjustable product guides; height‑adjustable top belt via eccentric/spindle; pneumatic foldable upper belt with two‑hand operation; belt speed max 60 m/min.</w:t>
            </w:r>
            <w:r>
              <w:t xml:space="preserve"> </w:t>
            </w:r>
            <w:hyperlink r:id="rId37">
              <w:r>
                <w:rPr>
                  <w:rStyle w:val="Hyperlink"/>
                </w:rPr>
                <w:t xml:space="preserve">[20]</w:t>
              </w:r>
            </w:hyperlink>
          </w:p>
        </w:tc>
        <w:tc>
          <w:tcPr/>
          <w:p>
            <w:pPr>
              <w:pStyle w:val="Compact"/>
            </w:pPr>
            <w:r>
              <w:t xml:space="preserve">Hinge bracket with pneumatic cylinder clevis hole, two‑hand safety switch mount holes, eccentric adjustment arc slot; needs kinematic drawing notes.</w:t>
            </w:r>
          </w:p>
        </w:tc>
        <w:tc>
          <w:tcPr/>
          <w:p>
            <w:pPr>
              <w:pStyle w:val="Compact"/>
            </w:pPr>
            <w:r>
              <w:t xml:space="preserve">150×80×10; arc slot R60; clevis Ø10</w:t>
            </w:r>
          </w:p>
        </w:tc>
        <w:tc>
          <w:tcPr/>
          <w:p>
            <w:pPr>
              <w:pStyle w:val="Compact"/>
            </w:pPr>
            <w:r>
              <w:t xml:space="preserve">Stainless 304</w:t>
            </w:r>
          </w:p>
        </w:tc>
        <w:tc>
          <w:tcPr/>
          <w:p>
            <w:pPr>
              <w:pStyle w:val="Compact"/>
            </w:pPr>
            <w:r>
              <w:rPr>
                <w:b/>
                <w:bCs/>
              </w:rPr>
              <w:t xml:space="preserve">What:</w:t>
            </w:r>
            <w:r>
              <w:t xml:space="preserve"> </w:t>
            </w:r>
            <w:r>
              <w:t xml:space="preserve">reposition clevis hole + revise arc slot angle;</w:t>
            </w:r>
            <w:r>
              <w:t xml:space="preserve"> </w:t>
            </w:r>
            <w:r>
              <w:rPr>
                <w:b/>
                <w:bCs/>
              </w:rPr>
              <w:t xml:space="preserve">Why:</w:t>
            </w:r>
            <w:r>
              <w:t xml:space="preserve"> </w:t>
            </w:r>
            <w:r>
              <w:t xml:space="preserve">increase opening clearance for cleaning/changeover;</w:t>
            </w:r>
            <w:r>
              <w:t xml:space="preserve"> </w:t>
            </w:r>
            <w:r>
              <w:rPr>
                <w:b/>
                <w:bCs/>
              </w:rPr>
              <w:t xml:space="preserve">Criticality:</w:t>
            </w:r>
            <w:r>
              <w:t xml:space="preserve"> </w:t>
            </w:r>
            <w:r>
              <w:t xml:space="preserve">Major.</w:t>
            </w:r>
          </w:p>
        </w:tc>
        <w:tc>
          <w:tcPr/>
          <w:p>
            <w:pPr>
              <w:pStyle w:val="Compact"/>
            </w:pPr>
            <w:r>
              <w:t xml:space="preserve">Diff (repositioned features), release readiness (safety-related mounting dims)</w:t>
            </w:r>
          </w:p>
        </w:tc>
      </w:tr>
    </w:tbl>
    <w:bookmarkEnd w:id="42"/>
    <w:bookmarkEnd w:id="43"/>
    <w:bookmarkStart w:id="44" w:name="X2cf4223424fc7ae4bff1dddc253544d085db2c3"/>
    <w:p>
      <w:pPr>
        <w:pStyle w:val="Heading2"/>
      </w:pPr>
      <w:r>
        <w:t xml:space="preserve">Prioritized shortlist of demo parts for RapidDraft with justification</w:t>
      </w:r>
    </w:p>
    <w:p>
      <w:pPr>
        <w:pStyle w:val="FirstParagraph"/>
      </w:pPr>
      <w:r>
        <w:t xml:space="preserve">If you only build 5–6 parts for a crisp RapidDraft demo dataset, prioritize parts that align with SOMIC’s strongest public commitments:</w:t>
      </w:r>
      <w:r>
        <w:t xml:space="preserve"> </w:t>
      </w:r>
      <w:r>
        <w:rPr>
          <w:b/>
          <w:bCs/>
        </w:rPr>
        <w:t xml:space="preserve">tool‑less QuickChange</w:t>
      </w:r>
      <w:r>
        <w:t xml:space="preserve">,</w:t>
      </w:r>
      <w:r>
        <w:t xml:space="preserve"> </w:t>
      </w:r>
      <w:r>
        <w:rPr>
          <w:b/>
          <w:bCs/>
        </w:rPr>
        <w:t xml:space="preserve">operator‑guided correctness without tweaking</w:t>
      </w:r>
      <w:r>
        <w:t xml:space="preserve">,</w:t>
      </w:r>
      <w:r>
        <w:t xml:space="preserve"> </w:t>
      </w:r>
      <w:r>
        <w:rPr>
          <w:b/>
          <w:bCs/>
        </w:rPr>
        <w:t xml:space="preserve">precision glue placement</w:t>
      </w:r>
      <w:r>
        <w:t xml:space="preserve">, and</w:t>
      </w:r>
      <w:r>
        <w:t xml:space="preserve"> </w:t>
      </w:r>
      <w:r>
        <w:rPr>
          <w:b/>
          <w:bCs/>
        </w:rPr>
        <w:t xml:space="preserve">carrier/container changes for mixed formats</w:t>
      </w:r>
      <w:r>
        <w:t xml:space="preserve">.</w:t>
      </w:r>
      <w:r>
        <w:t xml:space="preserve"> </w:t>
      </w:r>
      <w:hyperlink r:id="rId22">
        <w:r>
          <w:rPr>
            <w:rStyle w:val="Hyperlink"/>
          </w:rPr>
          <w:t xml:space="preserve">[37]</w:t>
        </w:r>
      </w:hyperlink>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Priority</w:t>
            </w:r>
          </w:p>
        </w:tc>
        <w:tc>
          <w:tcPr/>
          <w:p>
            <w:pPr>
              <w:pStyle w:val="Compact"/>
            </w:pPr>
            <w:r>
              <w:t xml:space="preserve">Part</w:t>
            </w:r>
          </w:p>
        </w:tc>
        <w:tc>
          <w:tcPr/>
          <w:p>
            <w:pPr>
              <w:pStyle w:val="Compact"/>
            </w:pPr>
            <w:r>
              <w:t xml:space="preserve">Why it best represents SOMIC’s real engineering pressures</w:t>
            </w:r>
          </w:p>
        </w:tc>
        <w:tc>
          <w:tcPr/>
          <w:p>
            <w:pPr>
              <w:pStyle w:val="Compact"/>
            </w:pPr>
            <w:r>
              <w:t xml:space="preserve">Suggested “engineer mistake” to inject for RapidDraft release checks</w:t>
            </w:r>
          </w:p>
        </w:tc>
      </w:tr>
      <w:tr>
        <w:tc>
          <w:tcPr/>
          <w:p>
            <w:pPr>
              <w:pStyle w:val="Compact"/>
            </w:pPr>
            <w:r>
              <w:t xml:space="preserve">1</w:t>
            </w:r>
          </w:p>
        </w:tc>
        <w:tc>
          <w:tcPr/>
          <w:p>
            <w:pPr>
              <w:pStyle w:val="Compact"/>
            </w:pPr>
            <w:r>
              <w:t xml:space="preserve">QuickChange Locating Adapter Plate</w:t>
            </w:r>
          </w:p>
        </w:tc>
        <w:tc>
          <w:tcPr/>
          <w:p>
            <w:pPr>
              <w:pStyle w:val="Compact"/>
            </w:pPr>
            <w:r>
              <w:t xml:space="preserve">QuickChange is central to format switching; SOMIC claims step‑by‑step guidance and “no additional tweaking,” which depends on repeatable locating geometry.</w:t>
            </w:r>
            <w:r>
              <w:t xml:space="preserve"> </w:t>
            </w:r>
            <w:hyperlink r:id="rId22">
              <w:r>
                <w:rPr>
                  <w:rStyle w:val="Hyperlink"/>
                </w:rPr>
                <w:t xml:space="preserve">[38]</w:t>
              </w:r>
            </w:hyperlink>
          </w:p>
        </w:tc>
        <w:tc>
          <w:tcPr/>
          <w:p>
            <w:pPr>
              <w:pStyle w:val="Compact"/>
            </w:pPr>
            <w:r>
              <w:t xml:space="preserve">Rev table updated but title block rev not; missing tolerance on dowel holes; wrong part code note (inconsistent with drawing label).</w:t>
            </w:r>
          </w:p>
        </w:tc>
      </w:tr>
      <w:tr>
        <w:tc>
          <w:tcPr/>
          <w:p>
            <w:pPr>
              <w:pStyle w:val="Compact"/>
            </w:pPr>
            <w:r>
              <w:t xml:space="preserve">2</w:t>
            </w:r>
          </w:p>
        </w:tc>
        <w:tc>
          <w:tcPr/>
          <w:p>
            <w:pPr>
              <w:pStyle w:val="Compact"/>
            </w:pPr>
            <w:r>
              <w:t xml:space="preserve">Hot‑Melt Glue Nozzle Mount Bracket</w:t>
            </w:r>
          </w:p>
        </w:tc>
        <w:tc>
          <w:tcPr/>
          <w:p>
            <w:pPr>
              <w:pStyle w:val="Compact"/>
            </w:pPr>
            <w:r>
              <w:t xml:space="preserve">SOMIC explicitly claims millimeter‑precise glue application in VM; glue position drift is a high‑impact failure.</w:t>
            </w:r>
            <w:r>
              <w:t xml:space="preserve"> </w:t>
            </w:r>
            <w:hyperlink r:id="rId33">
              <w:r>
                <w:rPr>
                  <w:rStyle w:val="Hyperlink"/>
                </w:rPr>
                <w:t xml:space="preserve">[16]</w:t>
              </w:r>
            </w:hyperlink>
          </w:p>
        </w:tc>
        <w:tc>
          <w:tcPr/>
          <w:p>
            <w:pPr>
              <w:pStyle w:val="Compact"/>
            </w:pPr>
            <w:r>
              <w:t xml:space="preserve">Geometry changed but critical dimension not updated; flatness callout missing; hole callout mismatch (Ø vs M).</w:t>
            </w:r>
          </w:p>
        </w:tc>
      </w:tr>
      <w:tr>
        <w:tc>
          <w:tcPr/>
          <w:p>
            <w:pPr>
              <w:pStyle w:val="Compact"/>
            </w:pPr>
            <w:r>
              <w:t xml:space="preserve">3</w:t>
            </w:r>
          </w:p>
        </w:tc>
        <w:tc>
          <w:tcPr/>
          <w:p>
            <w:pPr>
              <w:pStyle w:val="Compact"/>
            </w:pPr>
            <w:r>
              <w:t xml:space="preserve">CORAS Carrier Product Nest Insert</w:t>
            </w:r>
          </w:p>
        </w:tc>
        <w:tc>
          <w:tcPr/>
          <w:p>
            <w:pPr>
              <w:pStyle w:val="Compact"/>
            </w:pPr>
            <w:r>
              <w:t xml:space="preserve">CORAS carriers/product containers are explicitly matched to customer products and support mixed formats—meaning frequent revisions are plausible and business‑relevant.</w:t>
            </w:r>
            <w:r>
              <w:t xml:space="preserve"> </w:t>
            </w:r>
            <w:hyperlink r:id="rId23">
              <w:r>
                <w:rPr>
                  <w:rStyle w:val="Hyperlink"/>
                </w:rPr>
                <w:t xml:space="preserve">[3]</w:t>
              </w:r>
            </w:hyperlink>
          </w:p>
        </w:tc>
        <w:tc>
          <w:tcPr/>
          <w:p>
            <w:pPr>
              <w:pStyle w:val="Compact"/>
            </w:pPr>
            <w:r>
              <w:t xml:space="preserve">Pocket dimension updated but section view not; material note missing; fillet radii mismatch between views.</w:t>
            </w:r>
          </w:p>
        </w:tc>
      </w:tr>
      <w:tr>
        <w:tc>
          <w:tcPr/>
          <w:p>
            <w:pPr>
              <w:pStyle w:val="Compact"/>
            </w:pPr>
            <w:r>
              <w:t xml:space="preserve">4</w:t>
            </w:r>
          </w:p>
        </w:tc>
        <w:tc>
          <w:tcPr/>
          <w:p>
            <w:pPr>
              <w:pStyle w:val="Compact"/>
            </w:pPr>
            <w:r>
              <w:t xml:space="preserve">Folding Die Block</w:t>
            </w:r>
          </w:p>
        </w:tc>
        <w:tc>
          <w:tcPr/>
          <w:p>
            <w:pPr>
              <w:pStyle w:val="Compact"/>
            </w:pPr>
            <w:r>
              <w:t xml:space="preserve">Case erection and folding are foundational mechanics; die alignment changes are credible “critical revisions.”</w:t>
            </w:r>
            <w:r>
              <w:t xml:space="preserve"> </w:t>
            </w:r>
            <w:hyperlink r:id="rId31">
              <w:r>
                <w:rPr>
                  <w:rStyle w:val="Hyperlink"/>
                </w:rPr>
                <w:t xml:space="preserve">[14]</w:t>
              </w:r>
            </w:hyperlink>
          </w:p>
        </w:tc>
        <w:tc>
          <w:tcPr/>
          <w:p>
            <w:pPr>
              <w:pStyle w:val="Compact"/>
            </w:pPr>
            <w:r>
              <w:t xml:space="preserve">Dowel moved but datum scheme not updated; drawing still references old assembly revision.</w:t>
            </w:r>
          </w:p>
        </w:tc>
      </w:tr>
      <w:tr>
        <w:tc>
          <w:tcPr/>
          <w:p>
            <w:pPr>
              <w:pStyle w:val="Compact"/>
            </w:pPr>
            <w:r>
              <w:t xml:space="preserve">5</w:t>
            </w:r>
          </w:p>
        </w:tc>
        <w:tc>
          <w:tcPr/>
          <w:p>
            <w:pPr>
              <w:pStyle w:val="Compact"/>
            </w:pPr>
            <w:r>
              <w:t xml:space="preserve">QFeed Idler Sprocket Mount Plate</w:t>
            </w:r>
          </w:p>
        </w:tc>
        <w:tc>
          <w:tcPr/>
          <w:p>
            <w:pPr>
              <w:pStyle w:val="Compact"/>
            </w:pPr>
            <w:r>
              <w:t xml:space="preserve">Transport tech is explicitly modular and high speed; tension/guard changes are plausible and highly reviewable.</w:t>
            </w:r>
            <w:r>
              <w:t xml:space="preserve"> </w:t>
            </w:r>
            <w:hyperlink r:id="rId37">
              <w:r>
                <w:rPr>
                  <w:rStyle w:val="Hyperlink"/>
                </w:rPr>
                <w:t xml:space="preserve">[39]</w:t>
              </w:r>
            </w:hyperlink>
          </w:p>
        </w:tc>
        <w:tc>
          <w:tcPr/>
          <w:p>
            <w:pPr>
              <w:pStyle w:val="Compact"/>
            </w:pPr>
            <w:r>
              <w:t xml:space="preserve">Added safety guard holes but BOM/reference not updated; slot length dimension missing; note conflict with material variant.</w:t>
            </w:r>
          </w:p>
        </w:tc>
      </w:tr>
      <w:tr>
        <w:tc>
          <w:tcPr/>
          <w:p>
            <w:pPr>
              <w:pStyle w:val="Compact"/>
            </w:pPr>
            <w:r>
              <w:t xml:space="preserve">6</w:t>
            </w:r>
          </w:p>
        </w:tc>
        <w:tc>
          <w:tcPr/>
          <w:p>
            <w:pPr>
              <w:pStyle w:val="Compact"/>
            </w:pPr>
            <w:r>
              <w:t xml:space="preserve">Lamella Pusher Head Side Plate</w:t>
            </w:r>
          </w:p>
        </w:tc>
        <w:tc>
          <w:tcPr/>
          <w:p>
            <w:pPr>
              <w:pStyle w:val="Compact"/>
            </w:pPr>
            <w:r>
              <w:t xml:space="preserve">Lamella Chain is described with synchronized picker/pusher elements and tool‑less changeover—good for explaining why precision matters.</w:t>
            </w:r>
            <w:r>
              <w:t xml:space="preserve"> </w:t>
            </w:r>
            <w:hyperlink r:id="rId30">
              <w:r>
                <w:rPr>
                  <w:rStyle w:val="Hyperlink"/>
                </w:rPr>
                <w:t xml:space="preserve">[13]</w:t>
              </w:r>
            </w:hyperlink>
          </w:p>
        </w:tc>
        <w:tc>
          <w:tcPr/>
          <w:p>
            <w:pPr>
              <w:pStyle w:val="Compact"/>
            </w:pPr>
            <w:r>
              <w:t xml:space="preserve">Hole shifted but pattern note not updated; tolerance class missing; section view label wrong.</w:t>
            </w:r>
          </w:p>
        </w:tc>
      </w:tr>
    </w:tbl>
    <w:bookmarkEnd w:id="44"/>
    <w:bookmarkStart w:id="46" w:name="X55f449a4d0d72ab6fa0511466bd617a3bdffe0e"/>
    <w:p>
      <w:pPr>
        <w:pStyle w:val="Heading2"/>
      </w:pPr>
      <w:r>
        <w:t xml:space="preserve">Assumptions, realism checks, and what to request next from SOMIC</w:t>
      </w:r>
    </w:p>
    <w:p>
      <w:pPr>
        <w:pStyle w:val="FirstParagraph"/>
      </w:pPr>
      <w:r>
        <w:t xml:space="preserve">SOMIC does not publish internal CAD standards, nominal tolerances, or the actual BOM structures of customer machines; this report therefore proposes</w:t>
      </w:r>
      <w:r>
        <w:t xml:space="preserve"> </w:t>
      </w:r>
      <w:r>
        <w:rPr>
          <w:b/>
          <w:bCs/>
        </w:rPr>
        <w:t xml:space="preserve">credible demo parts</w:t>
      </w:r>
      <w:r>
        <w:t xml:space="preserve"> </w:t>
      </w:r>
      <w:r>
        <w:t xml:space="preserve">derived from SOMIC’s published machine processes and modularity claims, not from proprietary drawings.</w:t>
      </w:r>
      <w:r>
        <w:t xml:space="preserve"> </w:t>
      </w:r>
      <w:hyperlink r:id="rId21">
        <w:r>
          <w:rPr>
            <w:rStyle w:val="Hyperlink"/>
          </w:rPr>
          <w:t xml:space="preserve">[40]</w:t>
        </w:r>
      </w:hyperlink>
    </w:p>
    <w:p>
      <w:pPr>
        <w:pStyle w:val="BodyText"/>
      </w:pPr>
      <w:r>
        <w:t xml:space="preserve">To maximize credibility while staying within what SOMIC itself emphasizes publicly, validate your demo dataset against three SOMIC‑anchored realism checks:</w:t>
      </w:r>
    </w:p>
    <w:p>
      <w:pPr>
        <w:pStyle w:val="Compact"/>
        <w:numPr>
          <w:ilvl w:val="0"/>
          <w:numId w:val="1001"/>
        </w:numPr>
      </w:pPr>
      <w:r>
        <w:rPr>
          <w:b/>
          <w:bCs/>
        </w:rPr>
        <w:t xml:space="preserve">Format change realism:</w:t>
      </w:r>
      <w:r>
        <w:t xml:space="preserve"> </w:t>
      </w:r>
      <w:r>
        <w:t xml:space="preserve">every “format part” should plausibly be swapped tool‑lessly and be compatible with a guided changeover concept.</w:t>
      </w:r>
      <w:r>
        <w:t xml:space="preserve"> </w:t>
      </w:r>
      <w:hyperlink r:id="rId22">
        <w:r>
          <w:rPr>
            <w:rStyle w:val="Hyperlink"/>
          </w:rPr>
          <w:t xml:space="preserve">[23]</w:t>
        </w:r>
      </w:hyperlink>
    </w:p>
    <w:p>
      <w:pPr>
        <w:pStyle w:val="Compact"/>
        <w:numPr>
          <w:ilvl w:val="0"/>
          <w:numId w:val="1001"/>
        </w:numPr>
      </w:pPr>
      <w:r>
        <w:rPr>
          <w:b/>
          <w:bCs/>
        </w:rPr>
        <w:t xml:space="preserve">Process coupling realism:</w:t>
      </w:r>
      <w:r>
        <w:t xml:space="preserve"> </w:t>
      </w:r>
      <w:r>
        <w:t xml:space="preserve">folding/gluing parts should clearly affect steps SOMIC explicitly describes (folding head/die, hot‑melt gluing, sealing head).</w:t>
      </w:r>
      <w:r>
        <w:t xml:space="preserve"> </w:t>
      </w:r>
      <w:hyperlink r:id="rId31">
        <w:r>
          <w:rPr>
            <w:rStyle w:val="Hyperlink"/>
          </w:rPr>
          <w:t xml:space="preserve">[41]</w:t>
        </w:r>
      </w:hyperlink>
    </w:p>
    <w:p>
      <w:pPr>
        <w:pStyle w:val="Compact"/>
        <w:numPr>
          <w:ilvl w:val="0"/>
          <w:numId w:val="1001"/>
        </w:numPr>
      </w:pPr>
      <w:r>
        <w:rPr>
          <w:b/>
          <w:bCs/>
        </w:rPr>
        <w:t xml:space="preserve">Product‑handling realism:</w:t>
      </w:r>
      <w:r>
        <w:t xml:space="preserve"> </w:t>
      </w:r>
      <w:r>
        <w:t xml:space="preserve">carrier/container and manipulator parts should clearly map to CORAS’s carrier containers or the manipulator sequences (rotation, discharge star, chute).</w:t>
      </w:r>
      <w:r>
        <w:t xml:space="preserve"> </w:t>
      </w:r>
      <w:hyperlink r:id="rId23">
        <w:r>
          <w:rPr>
            <w:rStyle w:val="Hyperlink"/>
          </w:rPr>
          <w:t xml:space="preserve">[42]</w:t>
        </w:r>
      </w:hyperlink>
    </w:p>
    <w:p>
      <w:pPr>
        <w:pStyle w:val="FirstParagraph"/>
      </w:pPr>
      <w:r>
        <w:t xml:space="preserve">What to request from SOMIC (so your “reverse‑engineered” demo stops being hypothetical) is a tiny, safe subset: one or two</w:t>
      </w:r>
      <w:r>
        <w:t xml:space="preserve"> </w:t>
      </w:r>
      <w:r>
        <w:rPr>
          <w:b/>
          <w:bCs/>
        </w:rPr>
        <w:t xml:space="preserve">obsolete</w:t>
      </w:r>
      <w:r>
        <w:t xml:space="preserve"> </w:t>
      </w:r>
      <w:r>
        <w:t xml:space="preserve">or</w:t>
      </w:r>
      <w:r>
        <w:t xml:space="preserve"> </w:t>
      </w:r>
      <w:r>
        <w:rPr>
          <w:b/>
          <w:bCs/>
        </w:rPr>
        <w:t xml:space="preserve">scrubbed</w:t>
      </w:r>
      <w:r>
        <w:t xml:space="preserve"> </w:t>
      </w:r>
      <w:r>
        <w:t xml:space="preserve">drawing packages for a format part or carrier insert (even as PDF), plus the “baseline vs candidate revision” they most recently struggled to compare before release. The existence of manuals and structured changeover guidance is explicitly described in SOMIC case studies, so asking for a non‑sensitive example manual page (even redacted) is also reasonable.</w:t>
      </w:r>
      <w:r>
        <w:t xml:space="preserve"> </w:t>
      </w:r>
      <w:hyperlink r:id="rId45">
        <w:r>
          <w:rPr>
            <w:rStyle w:val="Hyperlink"/>
          </w:rPr>
          <w:t xml:space="preserve">[43]</w:t>
        </w:r>
      </w:hyperlink>
    </w:p>
    <w:bookmarkEnd w:id="46"/>
    <w:bookmarkEnd w:id="47"/>
    <w:bookmarkEnd w:id="48"/>
    <w:p>
      <w:r>
        <w:pict>
          <v:rect style="width:0;height:1.5pt" o:hralign="center" o:hrstd="t" o:hr="t"/>
        </w:pict>
      </w:r>
    </w:p>
    <w:bookmarkStart w:id="49" w:name="citations"/>
    <w:p>
      <w:pPr>
        <w:pStyle w:val="FirstParagraph"/>
      </w:pPr>
      <w:hyperlink r:id="rId21">
        <w:r>
          <w:rPr>
            <w:rStyle w:val="Hyperlink"/>
          </w:rPr>
          <w:t xml:space="preserve">[1]</w:t>
        </w:r>
      </w:hyperlink>
      <w:r>
        <w:t xml:space="preserve"> </w:t>
      </w:r>
      <w:hyperlink r:id="rId21">
        <w:r>
          <w:rPr>
            <w:rStyle w:val="Hyperlink"/>
          </w:rPr>
          <w:t xml:space="preserve">[21]</w:t>
        </w:r>
      </w:hyperlink>
      <w:r>
        <w:t xml:space="preserve"> </w:t>
      </w:r>
      <w:hyperlink r:id="rId21">
        <w:r>
          <w:rPr>
            <w:rStyle w:val="Hyperlink"/>
          </w:rPr>
          <w:t xml:space="preserve">[40]</w:t>
        </w:r>
      </w:hyperlink>
      <w:r>
        <w:t xml:space="preserve"> </w:t>
      </w:r>
      <w:r>
        <w:t xml:space="preserve">SOMIC modular system</w:t>
      </w:r>
    </w:p>
    <w:p>
      <w:pPr>
        <w:pStyle w:val="BodyText"/>
      </w:pPr>
      <w:hyperlink r:id="rId21">
        <w:r>
          <w:rPr>
            <w:rStyle w:val="Hyperlink"/>
          </w:rPr>
          <w:t xml:space="preserve">https://www.somic-packaging.com/en/solutions/somic-platform.html?utm_source=chatgpt.com</w:t>
        </w:r>
      </w:hyperlink>
    </w:p>
    <w:p>
      <w:pPr>
        <w:pStyle w:val="BodyText"/>
      </w:pPr>
      <w:hyperlink r:id="rId22">
        <w:r>
          <w:rPr>
            <w:rStyle w:val="Hyperlink"/>
          </w:rPr>
          <w:t xml:space="preserve">[2]</w:t>
        </w:r>
      </w:hyperlink>
      <w:r>
        <w:t xml:space="preserve"> </w:t>
      </w:r>
      <w:hyperlink r:id="rId22">
        <w:r>
          <w:rPr>
            <w:rStyle w:val="Hyperlink"/>
          </w:rPr>
          <w:t xml:space="preserve">[23]</w:t>
        </w:r>
      </w:hyperlink>
      <w:r>
        <w:t xml:space="preserve"> </w:t>
      </w:r>
      <w:hyperlink r:id="rId22">
        <w:r>
          <w:rPr>
            <w:rStyle w:val="Hyperlink"/>
          </w:rPr>
          <w:t xml:space="preserve">[30]</w:t>
        </w:r>
      </w:hyperlink>
      <w:r>
        <w:t xml:space="preserve"> </w:t>
      </w:r>
      <w:hyperlink r:id="rId22">
        <w:r>
          <w:rPr>
            <w:rStyle w:val="Hyperlink"/>
          </w:rPr>
          <w:t xml:space="preserve">[37]</w:t>
        </w:r>
      </w:hyperlink>
      <w:r>
        <w:t xml:space="preserve"> </w:t>
      </w:r>
      <w:hyperlink r:id="rId22">
        <w:r>
          <w:rPr>
            <w:rStyle w:val="Hyperlink"/>
          </w:rPr>
          <w:t xml:space="preserve">[38]</w:t>
        </w:r>
      </w:hyperlink>
      <w:r>
        <w:t xml:space="preserve"> </w:t>
      </w:r>
      <w:r>
        <w:t xml:space="preserve">Format change and operation</w:t>
      </w:r>
    </w:p>
    <w:p>
      <w:pPr>
        <w:pStyle w:val="BodyText"/>
      </w:pPr>
      <w:hyperlink r:id="rId22">
        <w:r>
          <w:rPr>
            <w:rStyle w:val="Hyperlink"/>
          </w:rPr>
          <w:t xml:space="preserve">https://www.somic-packaging.com/en/solutions/format-change-and-operation.html</w:t>
        </w:r>
      </w:hyperlink>
    </w:p>
    <w:p>
      <w:pPr>
        <w:pStyle w:val="BodyText"/>
      </w:pPr>
      <w:hyperlink r:id="rId23">
        <w:r>
          <w:rPr>
            <w:rStyle w:val="Hyperlink"/>
          </w:rPr>
          <w:t xml:space="preserve">[3]</w:t>
        </w:r>
      </w:hyperlink>
      <w:r>
        <w:t xml:space="preserve"> </w:t>
      </w:r>
      <w:hyperlink r:id="rId23">
        <w:r>
          <w:rPr>
            <w:rStyle w:val="Hyperlink"/>
          </w:rPr>
          <w:t xml:space="preserve">[24]</w:t>
        </w:r>
      </w:hyperlink>
      <w:r>
        <w:t xml:space="preserve"> </w:t>
      </w:r>
      <w:hyperlink r:id="rId23">
        <w:r>
          <w:rPr>
            <w:rStyle w:val="Hyperlink"/>
          </w:rPr>
          <w:t xml:space="preserve">[42]</w:t>
        </w:r>
      </w:hyperlink>
      <w:r>
        <w:t xml:space="preserve"> </w:t>
      </w:r>
      <w:r>
        <w:t xml:space="preserve">Collect and group products with SOMIC CORAS</w:t>
      </w:r>
    </w:p>
    <w:p>
      <w:pPr>
        <w:pStyle w:val="BodyText"/>
      </w:pPr>
      <w:hyperlink r:id="rId23">
        <w:r>
          <w:rPr>
            <w:rStyle w:val="Hyperlink"/>
          </w:rPr>
          <w:t xml:space="preserve">https://www.somic-packaging.com/en/solutions/collating-and-grouping-systems/coras.html</w:t>
        </w:r>
      </w:hyperlink>
    </w:p>
    <w:p>
      <w:pPr>
        <w:pStyle w:val="BodyText"/>
      </w:pPr>
      <w:hyperlink r:id="rId24">
        <w:r>
          <w:rPr>
            <w:rStyle w:val="Hyperlink"/>
          </w:rPr>
          <w:t xml:space="preserve">[4]</w:t>
        </w:r>
      </w:hyperlink>
      <w:r>
        <w:t xml:space="preserve"> </w:t>
      </w:r>
      <w:r>
        <w:t xml:space="preserve">Intelligent planning is the key to success - SOMIC</w:t>
      </w:r>
    </w:p>
    <w:p>
      <w:pPr>
        <w:pStyle w:val="BodyText"/>
      </w:pPr>
      <w:hyperlink r:id="rId24">
        <w:r>
          <w:rPr>
            <w:rStyle w:val="Hyperlink"/>
          </w:rPr>
          <w:t xml:space="preserve">https://www.somic-packaging.com/en/company/added-value/intelligent-planning.html</w:t>
        </w:r>
      </w:hyperlink>
    </w:p>
    <w:p>
      <w:pPr>
        <w:pStyle w:val="BodyText"/>
      </w:pPr>
      <w:hyperlink r:id="rId25">
        <w:r>
          <w:rPr>
            <w:rStyle w:val="Hyperlink"/>
          </w:rPr>
          <w:t xml:space="preserve">[5]</w:t>
        </w:r>
      </w:hyperlink>
      <w:r>
        <w:t xml:space="preserve"> </w:t>
      </w:r>
      <w:hyperlink r:id="rId25">
        <w:r>
          <w:rPr>
            <w:rStyle w:val="Hyperlink"/>
          </w:rPr>
          <w:t xml:space="preserve">[9]</w:t>
        </w:r>
      </w:hyperlink>
      <w:r>
        <w:t xml:space="preserve"> </w:t>
      </w:r>
      <w:hyperlink r:id="rId25">
        <w:r>
          <w:rPr>
            <w:rStyle w:val="Hyperlink"/>
          </w:rPr>
          <w:t xml:space="preserve">[10]</w:t>
        </w:r>
      </w:hyperlink>
      <w:r>
        <w:t xml:space="preserve"> </w:t>
      </w:r>
      <w:hyperlink r:id="rId25">
        <w:r>
          <w:rPr>
            <w:rStyle w:val="Hyperlink"/>
          </w:rPr>
          <w:t xml:space="preserve">[26]</w:t>
        </w:r>
      </w:hyperlink>
      <w:r>
        <w:t xml:space="preserve"> </w:t>
      </w:r>
      <w:hyperlink r:id="rId25">
        <w:r>
          <w:rPr>
            <w:rStyle w:val="Hyperlink"/>
          </w:rPr>
          <w:t xml:space="preserve">[35]</w:t>
        </w:r>
      </w:hyperlink>
      <w:r>
        <w:t xml:space="preserve"> </w:t>
      </w:r>
      <w:r>
        <w:t xml:space="preserve">Wraparound Packer SOMIC 434 W for carton packaging</w:t>
      </w:r>
    </w:p>
    <w:p>
      <w:pPr>
        <w:pStyle w:val="BodyText"/>
      </w:pPr>
      <w:hyperlink r:id="rId25">
        <w:r>
          <w:rPr>
            <w:rStyle w:val="Hyperlink"/>
          </w:rPr>
          <w:t xml:space="preserve">https://www.somic-packaging.com/en/solutions/end-of-line-packaging-machine-somic-434/wraparound-packer.html</w:t>
        </w:r>
      </w:hyperlink>
    </w:p>
    <w:p>
      <w:pPr>
        <w:pStyle w:val="BodyText"/>
      </w:pPr>
      <w:hyperlink r:id="rId27">
        <w:r>
          <w:rPr>
            <w:rStyle w:val="Hyperlink"/>
          </w:rPr>
          <w:t xml:space="preserve">[6]</w:t>
        </w:r>
      </w:hyperlink>
      <w:r>
        <w:t xml:space="preserve"> </w:t>
      </w:r>
      <w:hyperlink r:id="rId27">
        <w:r>
          <w:rPr>
            <w:rStyle w:val="Hyperlink"/>
          </w:rPr>
          <w:t xml:space="preserve">[7]</w:t>
        </w:r>
      </w:hyperlink>
      <w:r>
        <w:t xml:space="preserve"> </w:t>
      </w:r>
      <w:hyperlink r:id="rId27">
        <w:r>
          <w:rPr>
            <w:rStyle w:val="Hyperlink"/>
          </w:rPr>
          <w:t xml:space="preserve">[8]</w:t>
        </w:r>
      </w:hyperlink>
      <w:r>
        <w:t xml:space="preserve"> </w:t>
      </w:r>
      <w:r>
        <w:t xml:space="preserve">End-of-line packaging machine SOMIC 434</w:t>
      </w:r>
    </w:p>
    <w:p>
      <w:pPr>
        <w:pStyle w:val="BodyText"/>
      </w:pPr>
      <w:hyperlink r:id="rId27">
        <w:r>
          <w:rPr>
            <w:rStyle w:val="Hyperlink"/>
          </w:rPr>
          <w:t xml:space="preserve">https://www.somic-packaging.com/en/solutions/end-of-line-packaging-machine-somic-434.html</w:t>
        </w:r>
      </w:hyperlink>
    </w:p>
    <w:p>
      <w:pPr>
        <w:pStyle w:val="BodyText"/>
      </w:pPr>
      <w:hyperlink r:id="rId28">
        <w:r>
          <w:rPr>
            <w:rStyle w:val="Hyperlink"/>
          </w:rPr>
          <w:t xml:space="preserve">[11]</w:t>
        </w:r>
      </w:hyperlink>
      <w:r>
        <w:t xml:space="preserve"> </w:t>
      </w:r>
      <w:r>
        <w:t xml:space="preserve">Tray Packer SOMIC 434 T</w:t>
      </w:r>
    </w:p>
    <w:p>
      <w:pPr>
        <w:pStyle w:val="BodyText"/>
      </w:pPr>
      <w:hyperlink r:id="rId28">
        <w:r>
          <w:rPr>
            <w:rStyle w:val="Hyperlink"/>
          </w:rPr>
          <w:t xml:space="preserve">https://www.somic-packaging.com/en/solutions/end-of-line-packaging-machine-somic-434/tray-packer.html</w:t>
        </w:r>
      </w:hyperlink>
    </w:p>
    <w:p>
      <w:pPr>
        <w:pStyle w:val="BodyText"/>
      </w:pPr>
      <w:hyperlink r:id="rId29">
        <w:r>
          <w:rPr>
            <w:rStyle w:val="Hyperlink"/>
          </w:rPr>
          <w:t xml:space="preserve">[12]</w:t>
        </w:r>
      </w:hyperlink>
      <w:r>
        <w:t xml:space="preserve"> </w:t>
      </w:r>
      <w:r>
        <w:t xml:space="preserve">Cartoner SOMIC ReadyPack</w:t>
      </w:r>
    </w:p>
    <w:p>
      <w:pPr>
        <w:pStyle w:val="BodyText"/>
      </w:pPr>
      <w:hyperlink r:id="rId29">
        <w:r>
          <w:rPr>
            <w:rStyle w:val="Hyperlink"/>
          </w:rPr>
          <w:t xml:space="preserve">https://apac.somic-packaging.com/solutions/readypack-cartoner</w:t>
        </w:r>
      </w:hyperlink>
    </w:p>
    <w:p>
      <w:pPr>
        <w:pStyle w:val="BodyText"/>
      </w:pPr>
      <w:hyperlink r:id="rId30">
        <w:r>
          <w:rPr>
            <w:rStyle w:val="Hyperlink"/>
          </w:rPr>
          <w:t xml:space="preserve">[13]</w:t>
        </w:r>
      </w:hyperlink>
      <w:r>
        <w:t xml:space="preserve"> </w:t>
      </w:r>
      <w:r>
        <w:t xml:space="preserve">The SOMIC Lamella Chain</w:t>
      </w:r>
    </w:p>
    <w:p>
      <w:pPr>
        <w:pStyle w:val="BodyText"/>
      </w:pPr>
      <w:hyperlink r:id="rId30">
        <w:r>
          <w:rPr>
            <w:rStyle w:val="Hyperlink"/>
          </w:rPr>
          <w:t xml:space="preserve">https://www.somic-packaging.com/en/solutions/collating-and-grouping-systems/lamella-chain.html</w:t>
        </w:r>
      </w:hyperlink>
    </w:p>
    <w:p>
      <w:pPr>
        <w:pStyle w:val="BodyText"/>
      </w:pPr>
      <w:hyperlink r:id="rId31">
        <w:r>
          <w:rPr>
            <w:rStyle w:val="Hyperlink"/>
          </w:rPr>
          <w:t xml:space="preserve">[14]</w:t>
        </w:r>
      </w:hyperlink>
      <w:r>
        <w:t xml:space="preserve"> </w:t>
      </w:r>
      <w:hyperlink r:id="rId31">
        <w:r>
          <w:rPr>
            <w:rStyle w:val="Hyperlink"/>
          </w:rPr>
          <w:t xml:space="preserve">[28]</w:t>
        </w:r>
      </w:hyperlink>
      <w:r>
        <w:t xml:space="preserve"> </w:t>
      </w:r>
      <w:hyperlink r:id="rId31">
        <w:r>
          <w:rPr>
            <w:rStyle w:val="Hyperlink"/>
          </w:rPr>
          <w:t xml:space="preserve">[29]</w:t>
        </w:r>
      </w:hyperlink>
      <w:r>
        <w:t xml:space="preserve"> </w:t>
      </w:r>
      <w:hyperlink r:id="rId31">
        <w:r>
          <w:rPr>
            <w:rStyle w:val="Hyperlink"/>
          </w:rPr>
          <w:t xml:space="preserve">[41]</w:t>
        </w:r>
      </w:hyperlink>
      <w:r>
        <w:t xml:space="preserve"> </w:t>
      </w:r>
      <w:r>
        <w:t xml:space="preserve">Case erector SOMIC KA</w:t>
      </w:r>
    </w:p>
    <w:p>
      <w:pPr>
        <w:pStyle w:val="BodyText"/>
      </w:pPr>
      <w:hyperlink r:id="rId31">
        <w:r>
          <w:rPr>
            <w:rStyle w:val="Hyperlink"/>
          </w:rPr>
          <w:t xml:space="preserve">https://www.somic-packaging.com/en/solutions/modular-packaging-machines/case-erector-somic-ka.html?utm_source=chatgpt.com</w:t>
        </w:r>
      </w:hyperlink>
    </w:p>
    <w:p>
      <w:pPr>
        <w:pStyle w:val="BodyText"/>
      </w:pPr>
      <w:hyperlink r:id="rId32">
        <w:r>
          <w:rPr>
            <w:rStyle w:val="Hyperlink"/>
          </w:rPr>
          <w:t xml:space="preserve">[15]</w:t>
        </w:r>
      </w:hyperlink>
      <w:r>
        <w:t xml:space="preserve"> </w:t>
      </w:r>
      <w:r>
        <w:t xml:space="preserve">Lidding machine SOMIC DA</w:t>
      </w:r>
    </w:p>
    <w:p>
      <w:pPr>
        <w:pStyle w:val="BodyText"/>
      </w:pPr>
      <w:hyperlink r:id="rId32">
        <w:r>
          <w:rPr>
            <w:rStyle w:val="Hyperlink"/>
          </w:rPr>
          <w:t xml:space="preserve">https://www.somic-packaging.com/en/solutions/modular-packaging-machines/lidding-machine-somic-da.html?utm_source=chatgpt.com</w:t>
        </w:r>
      </w:hyperlink>
    </w:p>
    <w:p>
      <w:pPr>
        <w:pStyle w:val="BodyText"/>
      </w:pPr>
      <w:hyperlink r:id="rId33">
        <w:r>
          <w:rPr>
            <w:rStyle w:val="Hyperlink"/>
          </w:rPr>
          <w:t xml:space="preserve">[16]</w:t>
        </w:r>
      </w:hyperlink>
      <w:r>
        <w:t xml:space="preserve"> </w:t>
      </w:r>
      <w:hyperlink r:id="rId33">
        <w:r>
          <w:rPr>
            <w:rStyle w:val="Hyperlink"/>
          </w:rPr>
          <w:t xml:space="preserve">[36]</w:t>
        </w:r>
      </w:hyperlink>
      <w:r>
        <w:t xml:space="preserve"> </w:t>
      </w:r>
      <w:r>
        <w:t xml:space="preserve">Case Sealer - SOMIC VM</w:t>
      </w:r>
    </w:p>
    <w:p>
      <w:pPr>
        <w:pStyle w:val="BodyText"/>
      </w:pPr>
      <w:hyperlink r:id="rId33">
        <w:r>
          <w:rPr>
            <w:rStyle w:val="Hyperlink"/>
          </w:rPr>
          <w:t xml:space="preserve">https://www.somic-packaging.com/en/solutions/modular-packaging-machines/case-sealer-somic-vm.html</w:t>
        </w:r>
      </w:hyperlink>
    </w:p>
    <w:p>
      <w:pPr>
        <w:pStyle w:val="BodyText"/>
      </w:pPr>
      <w:hyperlink r:id="rId34">
        <w:r>
          <w:rPr>
            <w:rStyle w:val="Hyperlink"/>
          </w:rPr>
          <w:t xml:space="preserve">[17]</w:t>
        </w:r>
      </w:hyperlink>
      <w:r>
        <w:t xml:space="preserve"> </w:t>
      </w:r>
      <w:hyperlink r:id="rId34">
        <w:r>
          <w:rPr>
            <w:rStyle w:val="Hyperlink"/>
          </w:rPr>
          <w:t xml:space="preserve">[31]</w:t>
        </w:r>
      </w:hyperlink>
      <w:r>
        <w:t xml:space="preserve"> </w:t>
      </w:r>
      <w:r>
        <w:t xml:space="preserve">Product Handling and Transportation</w:t>
      </w:r>
    </w:p>
    <w:p>
      <w:pPr>
        <w:pStyle w:val="BodyText"/>
      </w:pPr>
      <w:hyperlink r:id="rId34">
        <w:r>
          <w:rPr>
            <w:rStyle w:val="Hyperlink"/>
          </w:rPr>
          <w:t xml:space="preserve">https://www.somic-packaging.com/en/solutions/product-handling-and-transportation.html</w:t>
        </w:r>
      </w:hyperlink>
    </w:p>
    <w:p>
      <w:pPr>
        <w:pStyle w:val="BodyText"/>
      </w:pPr>
      <w:hyperlink r:id="rId35">
        <w:r>
          <w:rPr>
            <w:rStyle w:val="Hyperlink"/>
          </w:rPr>
          <w:t xml:space="preserve">[18]</w:t>
        </w:r>
      </w:hyperlink>
      <w:r>
        <w:t xml:space="preserve"> </w:t>
      </w:r>
      <w:r>
        <w:t xml:space="preserve">Product Manipulator</w:t>
      </w:r>
    </w:p>
    <w:p>
      <w:pPr>
        <w:pStyle w:val="BodyText"/>
      </w:pPr>
      <w:hyperlink r:id="rId35">
        <w:r>
          <w:rPr>
            <w:rStyle w:val="Hyperlink"/>
          </w:rPr>
          <w:t xml:space="preserve">https://www.somic-packaging.com/en/solutions/product-handling-and-transportation/product-manipulator.html</w:t>
        </w:r>
      </w:hyperlink>
    </w:p>
    <w:p>
      <w:pPr>
        <w:pStyle w:val="BodyText"/>
      </w:pPr>
      <w:hyperlink r:id="rId36">
        <w:r>
          <w:rPr>
            <w:rStyle w:val="Hyperlink"/>
          </w:rPr>
          <w:t xml:space="preserve">[19]</w:t>
        </w:r>
      </w:hyperlink>
      <w:r>
        <w:t xml:space="preserve"> </w:t>
      </w:r>
      <w:r>
        <w:t xml:space="preserve">Product Storage Systems</w:t>
      </w:r>
    </w:p>
    <w:p>
      <w:pPr>
        <w:pStyle w:val="BodyText"/>
      </w:pPr>
      <w:hyperlink r:id="rId36">
        <w:r>
          <w:rPr>
            <w:rStyle w:val="Hyperlink"/>
          </w:rPr>
          <w:t xml:space="preserve">https://www.somic-packaging.com/en/solutions/product-handling-and-transportation/storage-systems.html</w:t>
        </w:r>
      </w:hyperlink>
    </w:p>
    <w:p>
      <w:pPr>
        <w:pStyle w:val="BodyText"/>
      </w:pPr>
      <w:hyperlink r:id="rId37">
        <w:r>
          <w:rPr>
            <w:rStyle w:val="Hyperlink"/>
          </w:rPr>
          <w:t xml:space="preserve">[20]</w:t>
        </w:r>
      </w:hyperlink>
      <w:r>
        <w:t xml:space="preserve"> </w:t>
      </w:r>
      <w:hyperlink r:id="rId37">
        <w:r>
          <w:rPr>
            <w:rStyle w:val="Hyperlink"/>
          </w:rPr>
          <w:t xml:space="preserve">[39]</w:t>
        </w:r>
      </w:hyperlink>
      <w:r>
        <w:t xml:space="preserve"> </w:t>
      </w:r>
      <w:r>
        <w:t xml:space="preserve">Transport Technology</w:t>
      </w:r>
    </w:p>
    <w:p>
      <w:pPr>
        <w:pStyle w:val="BodyText"/>
      </w:pPr>
      <w:hyperlink r:id="rId37">
        <w:r>
          <w:rPr>
            <w:rStyle w:val="Hyperlink"/>
          </w:rPr>
          <w:t xml:space="preserve">https://www.somic-packaging.com/en/solutions/product-handling-and-transportation/transport-technology.html</w:t>
        </w:r>
      </w:hyperlink>
    </w:p>
    <w:p>
      <w:pPr>
        <w:pStyle w:val="BodyText"/>
      </w:pPr>
      <w:hyperlink r:id="rId39">
        <w:r>
          <w:rPr>
            <w:rStyle w:val="Hyperlink"/>
          </w:rPr>
          <w:t xml:space="preserve">[22]</w:t>
        </w:r>
      </w:hyperlink>
      <w:r>
        <w:t xml:space="preserve"> </w:t>
      </w:r>
      <w:hyperlink r:id="rId39">
        <w:r>
          <w:rPr>
            <w:rStyle w:val="Hyperlink"/>
          </w:rPr>
          <w:t xml:space="preserve">[25]</w:t>
        </w:r>
      </w:hyperlink>
      <w:r>
        <w:t xml:space="preserve"> </w:t>
      </w:r>
      <w:hyperlink r:id="rId39">
        <w:r>
          <w:rPr>
            <w:rStyle w:val="Hyperlink"/>
          </w:rPr>
          <w:t xml:space="preserve">[27]</w:t>
        </w:r>
      </w:hyperlink>
      <w:r>
        <w:t xml:space="preserve"> </w:t>
      </w:r>
      <w:hyperlink r:id="rId39">
        <w:r>
          <w:rPr>
            <w:rStyle w:val="Hyperlink"/>
          </w:rPr>
          <w:t xml:space="preserve">[32]</w:t>
        </w:r>
      </w:hyperlink>
      <w:r>
        <w:t xml:space="preserve"> </w:t>
      </w:r>
      <w:hyperlink r:id="rId39">
        <w:r>
          <w:rPr>
            <w:rStyle w:val="Hyperlink"/>
          </w:rPr>
          <w:t xml:space="preserve">[33]</w:t>
        </w:r>
      </w:hyperlink>
      <w:r>
        <w:t xml:space="preserve"> </w:t>
      </w:r>
      <w:hyperlink r:id="rId39">
        <w:r>
          <w:rPr>
            <w:rStyle w:val="Hyperlink"/>
          </w:rPr>
          <w:t xml:space="preserve">[34]</w:t>
        </w:r>
      </w:hyperlink>
      <w:r>
        <w:t xml:space="preserve"> </w:t>
      </w:r>
      <w:r>
        <w:t xml:space="preserve">SOMIC launches new end of line packaging machine and ...</w:t>
      </w:r>
    </w:p>
    <w:p>
      <w:pPr>
        <w:pStyle w:val="BodyText"/>
      </w:pPr>
      <w:hyperlink r:id="rId39">
        <w:r>
          <w:rPr>
            <w:rStyle w:val="Hyperlink"/>
          </w:rPr>
          <w:t xml:space="preserve">https://www.somic-packaging.com/en/company/news/detail/somic-launches-new-end-of-line-packaging-machine-and-product-handling-solution.html?utm_source=chatgpt.com</w:t>
        </w:r>
      </w:hyperlink>
    </w:p>
    <w:p>
      <w:pPr>
        <w:pStyle w:val="BodyText"/>
      </w:pPr>
      <w:hyperlink r:id="rId45">
        <w:r>
          <w:rPr>
            <w:rStyle w:val="Hyperlink"/>
          </w:rPr>
          <w:t xml:space="preserve">[43]</w:t>
        </w:r>
      </w:hyperlink>
      <w:r>
        <w:t xml:space="preserve"> </w:t>
      </w:r>
      <w:r>
        <w:t xml:space="preserve">Case Study - Deldiche (Gourmet food &amp; Convenience)</w:t>
      </w:r>
    </w:p>
    <w:p>
      <w:pPr>
        <w:pStyle w:val="BodyText"/>
      </w:pPr>
      <w:hyperlink r:id="rId45">
        <w:r>
          <w:rPr>
            <w:rStyle w:val="Hyperlink"/>
          </w:rPr>
          <w:t xml:space="preserve">https://www.somic-packaging.com/en/sectors/references/case-studies/details/case-study-deldiche.html</w:t>
        </w:r>
      </w:hyperlink>
    </w:p>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pac.somic-packaging.com/solutions/readypack-cartoner" TargetMode="External" /><Relationship Type="http://schemas.openxmlformats.org/officeDocument/2006/relationships/hyperlink" Id="rId24" Target="https://www.somic-packaging.com/en/company/added-value/intelligent-planning.html" TargetMode="External" /><Relationship Type="http://schemas.openxmlformats.org/officeDocument/2006/relationships/hyperlink" Id="rId39" Target="https://www.somic-packaging.com/en/company/news/detail/somic-launches-new-end-of-line-packaging-machine-and-product-handling-solution.html?utm_source=chatgpt.com" TargetMode="External" /><Relationship Type="http://schemas.openxmlformats.org/officeDocument/2006/relationships/hyperlink" Id="rId45" Target="https://www.somic-packaging.com/en/sectors/references/case-studies/details/case-study-deldiche.html" TargetMode="External" /><Relationship Type="http://schemas.openxmlformats.org/officeDocument/2006/relationships/hyperlink" Id="rId23" Target="https://www.somic-packaging.com/en/solutions/collating-and-grouping-systems/coras.html" TargetMode="External" /><Relationship Type="http://schemas.openxmlformats.org/officeDocument/2006/relationships/hyperlink" Id="rId30" Target="https://www.somic-packaging.com/en/solutions/collating-and-grouping-systems/lamella-chain.html" TargetMode="External" /><Relationship Type="http://schemas.openxmlformats.org/officeDocument/2006/relationships/hyperlink" Id="rId27" Target="https://www.somic-packaging.com/en/solutions/end-of-line-packaging-machine-somic-434.html" TargetMode="External" /><Relationship Type="http://schemas.openxmlformats.org/officeDocument/2006/relationships/hyperlink" Id="rId28" Target="https://www.somic-packaging.com/en/solutions/end-of-line-packaging-machine-somic-434/tray-packer.html" TargetMode="External" /><Relationship Type="http://schemas.openxmlformats.org/officeDocument/2006/relationships/hyperlink" Id="rId25" Target="https://www.somic-packaging.com/en/solutions/end-of-line-packaging-machine-somic-434/wraparound-packer.html" TargetMode="External" /><Relationship Type="http://schemas.openxmlformats.org/officeDocument/2006/relationships/hyperlink" Id="rId22" Target="https://www.somic-packaging.com/en/solutions/format-change-and-operation.html" TargetMode="External" /><Relationship Type="http://schemas.openxmlformats.org/officeDocument/2006/relationships/hyperlink" Id="rId31" Target="https://www.somic-packaging.com/en/solutions/modular-packaging-machines/case-erector-somic-ka.html?utm_source=chatgpt.com" TargetMode="External" /><Relationship Type="http://schemas.openxmlformats.org/officeDocument/2006/relationships/hyperlink" Id="rId33" Target="https://www.somic-packaging.com/en/solutions/modular-packaging-machines/case-sealer-somic-vm.html" TargetMode="External" /><Relationship Type="http://schemas.openxmlformats.org/officeDocument/2006/relationships/hyperlink" Id="rId32" Target="https://www.somic-packaging.com/en/solutions/modular-packaging-machines/lidding-machine-somic-da.html?utm_source=chatgpt.com" TargetMode="External" /><Relationship Type="http://schemas.openxmlformats.org/officeDocument/2006/relationships/hyperlink" Id="rId34" Target="https://www.somic-packaging.com/en/solutions/product-handling-and-transportation.html" TargetMode="External" /><Relationship Type="http://schemas.openxmlformats.org/officeDocument/2006/relationships/hyperlink" Id="rId35" Target="https://www.somic-packaging.com/en/solutions/product-handling-and-transportation/product-manipulator.html" TargetMode="External" /><Relationship Type="http://schemas.openxmlformats.org/officeDocument/2006/relationships/hyperlink" Id="rId36" Target="https://www.somic-packaging.com/en/solutions/product-handling-and-transportation/storage-systems.html" TargetMode="External" /><Relationship Type="http://schemas.openxmlformats.org/officeDocument/2006/relationships/hyperlink" Id="rId37" Target="https://www.somic-packaging.com/en/solutions/product-handling-and-transportation/transport-technology.html" TargetMode="External" /><Relationship Type="http://schemas.openxmlformats.org/officeDocument/2006/relationships/hyperlink" Id="rId21" Target="https://www.somic-packaging.com/en/solutions/somic-platform.html?utm_source=chatgpt.com" TargetMode="External" /></Relationships>
</file>

<file path=word/_rels/footnotes.xml.rels><?xml version="1.0" encoding="UTF-8"?><Relationships xmlns="http://schemas.openxmlformats.org/package/2006/relationships"><Relationship Type="http://schemas.openxmlformats.org/officeDocument/2006/relationships/hyperlink" Id="rId29" Target="https://apac.somic-packaging.com/solutions/readypack-cartoner" TargetMode="External" /><Relationship Type="http://schemas.openxmlformats.org/officeDocument/2006/relationships/hyperlink" Id="rId24" Target="https://www.somic-packaging.com/en/company/added-value/intelligent-planning.html" TargetMode="External" /><Relationship Type="http://schemas.openxmlformats.org/officeDocument/2006/relationships/hyperlink" Id="rId39" Target="https://www.somic-packaging.com/en/company/news/detail/somic-launches-new-end-of-line-packaging-machine-and-product-handling-solution.html?utm_source=chatgpt.com" TargetMode="External" /><Relationship Type="http://schemas.openxmlformats.org/officeDocument/2006/relationships/hyperlink" Id="rId45" Target="https://www.somic-packaging.com/en/sectors/references/case-studies/details/case-study-deldiche.html" TargetMode="External" /><Relationship Type="http://schemas.openxmlformats.org/officeDocument/2006/relationships/hyperlink" Id="rId23" Target="https://www.somic-packaging.com/en/solutions/collating-and-grouping-systems/coras.html" TargetMode="External" /><Relationship Type="http://schemas.openxmlformats.org/officeDocument/2006/relationships/hyperlink" Id="rId30" Target="https://www.somic-packaging.com/en/solutions/collating-and-grouping-systems/lamella-chain.html" TargetMode="External" /><Relationship Type="http://schemas.openxmlformats.org/officeDocument/2006/relationships/hyperlink" Id="rId27" Target="https://www.somic-packaging.com/en/solutions/end-of-line-packaging-machine-somic-434.html" TargetMode="External" /><Relationship Type="http://schemas.openxmlformats.org/officeDocument/2006/relationships/hyperlink" Id="rId28" Target="https://www.somic-packaging.com/en/solutions/end-of-line-packaging-machine-somic-434/tray-packer.html" TargetMode="External" /><Relationship Type="http://schemas.openxmlformats.org/officeDocument/2006/relationships/hyperlink" Id="rId25" Target="https://www.somic-packaging.com/en/solutions/end-of-line-packaging-machine-somic-434/wraparound-packer.html" TargetMode="External" /><Relationship Type="http://schemas.openxmlformats.org/officeDocument/2006/relationships/hyperlink" Id="rId22" Target="https://www.somic-packaging.com/en/solutions/format-change-and-operation.html" TargetMode="External" /><Relationship Type="http://schemas.openxmlformats.org/officeDocument/2006/relationships/hyperlink" Id="rId31" Target="https://www.somic-packaging.com/en/solutions/modular-packaging-machines/case-erector-somic-ka.html?utm_source=chatgpt.com" TargetMode="External" /><Relationship Type="http://schemas.openxmlformats.org/officeDocument/2006/relationships/hyperlink" Id="rId33" Target="https://www.somic-packaging.com/en/solutions/modular-packaging-machines/case-sealer-somic-vm.html" TargetMode="External" /><Relationship Type="http://schemas.openxmlformats.org/officeDocument/2006/relationships/hyperlink" Id="rId32" Target="https://www.somic-packaging.com/en/solutions/modular-packaging-machines/lidding-machine-somic-da.html?utm_source=chatgpt.com" TargetMode="External" /><Relationship Type="http://schemas.openxmlformats.org/officeDocument/2006/relationships/hyperlink" Id="rId34" Target="https://www.somic-packaging.com/en/solutions/product-handling-and-transportation.html" TargetMode="External" /><Relationship Type="http://schemas.openxmlformats.org/officeDocument/2006/relationships/hyperlink" Id="rId35" Target="https://www.somic-packaging.com/en/solutions/product-handling-and-transportation/product-manipulator.html" TargetMode="External" /><Relationship Type="http://schemas.openxmlformats.org/officeDocument/2006/relationships/hyperlink" Id="rId36" Target="https://www.somic-packaging.com/en/solutions/product-handling-and-transportation/storage-systems.html" TargetMode="External" /><Relationship Type="http://schemas.openxmlformats.org/officeDocument/2006/relationships/hyperlink" Id="rId37" Target="https://www.somic-packaging.com/en/solutions/product-handling-and-transportation/transport-technology.html" TargetMode="External" /><Relationship Type="http://schemas.openxmlformats.org/officeDocument/2006/relationships/hyperlink" Id="rId21" Target="https://www.somic-packaging.com/en/solutions/somic-platform.html?utm_source=chatgp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2026-04-13T17:05:12Z</dcterms:created>
  <dcterms:modified xsi:type="dcterms:W3CDTF">2026-04-13T17:05:12Z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